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CD9F" w14:textId="156EC35B" w:rsidR="00F105DE" w:rsidRPr="00DC1567" w:rsidRDefault="00A8207D" w:rsidP="0000398B">
      <w:pPr>
        <w:spacing w:beforeLines="60" w:before="144" w:afterLines="100" w:after="240" w:line="240" w:lineRule="auto"/>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Not</w:t>
      </w:r>
      <w:r w:rsidR="001A2BAA" w:rsidRPr="00DC1567">
        <w:rPr>
          <w:rFonts w:ascii="Times New Roman" w:eastAsiaTheme="majorEastAsia" w:hAnsi="Times New Roman" w:cs="Times New Roman"/>
          <w:b/>
          <w:noProof w:val="0"/>
          <w:color w:val="000000" w:themeColor="text1"/>
          <w:sz w:val="24"/>
          <w:szCs w:val="24"/>
          <w:lang w:eastAsia="en-US"/>
        </w:rPr>
        <w:t>ă</w:t>
      </w:r>
      <w:r w:rsidRPr="00DC1567">
        <w:rPr>
          <w:rFonts w:ascii="Times New Roman" w:eastAsiaTheme="majorEastAsia" w:hAnsi="Times New Roman" w:cs="Times New Roman"/>
          <w:b/>
          <w:noProof w:val="0"/>
          <w:color w:val="000000" w:themeColor="text1"/>
          <w:sz w:val="24"/>
          <w:szCs w:val="24"/>
          <w:lang w:eastAsia="en-US"/>
        </w:rPr>
        <w:t xml:space="preserve"> de fundamentare</w:t>
      </w:r>
    </w:p>
    <w:p w14:paraId="7E8C0AFC" w14:textId="3A499CC6" w:rsidR="00F105DE" w:rsidRPr="00DC1567" w:rsidRDefault="00F105DE" w:rsidP="0000398B">
      <w:pPr>
        <w:spacing w:beforeLines="60" w:before="144" w:afterLines="100" w:after="240" w:line="240" w:lineRule="auto"/>
        <w:rPr>
          <w:rFonts w:ascii="Times New Roman" w:eastAsiaTheme="majorEastAsia" w:hAnsi="Times New Roman" w:cs="Times New Roman"/>
          <w:bCs/>
          <w:noProof w:val="0"/>
          <w:color w:val="000000" w:themeColor="text1"/>
          <w:lang w:eastAsia="en-US"/>
        </w:rPr>
      </w:pPr>
      <w:r w:rsidRPr="00DC1567">
        <w:rPr>
          <w:rFonts w:ascii="Times New Roman" w:eastAsiaTheme="majorEastAsia" w:hAnsi="Times New Roman" w:cs="Times New Roman"/>
          <w:bCs/>
          <w:noProof w:val="0"/>
          <w:color w:val="000000" w:themeColor="text1"/>
          <w:lang w:eastAsia="en-US"/>
        </w:rPr>
        <w:t xml:space="preserve"> </w:t>
      </w:r>
    </w:p>
    <w:tbl>
      <w:tblPr>
        <w:tblStyle w:val="Tabelgril"/>
        <w:tblW w:w="9753" w:type="dxa"/>
        <w:tblLook w:val="04A0" w:firstRow="1" w:lastRow="0" w:firstColumn="1" w:lastColumn="0" w:noHBand="0" w:noVBand="1"/>
      </w:tblPr>
      <w:tblGrid>
        <w:gridCol w:w="1966"/>
        <w:gridCol w:w="883"/>
        <w:gridCol w:w="412"/>
        <w:gridCol w:w="1617"/>
        <w:gridCol w:w="1617"/>
        <w:gridCol w:w="1617"/>
        <w:gridCol w:w="1641"/>
      </w:tblGrid>
      <w:tr w:rsidR="0094694D" w:rsidRPr="00DC1567" w14:paraId="08375FA0" w14:textId="77777777" w:rsidTr="00B92AAB">
        <w:tc>
          <w:tcPr>
            <w:tcW w:w="9753" w:type="dxa"/>
            <w:gridSpan w:val="7"/>
          </w:tcPr>
          <w:p w14:paraId="0FE192BB" w14:textId="01193980" w:rsidR="00597846" w:rsidRPr="00DC1567" w:rsidRDefault="00597846" w:rsidP="0000398B">
            <w:pPr>
              <w:spacing w:beforeLines="60" w:before="144" w:afterLines="100" w:after="240"/>
              <w:jc w:val="center"/>
              <w:rPr>
                <w:rFonts w:ascii="Times New Roman" w:hAnsi="Times New Roman" w:cs="Times New Roman"/>
                <w:b/>
                <w:noProof w:val="0"/>
                <w:color w:val="000000" w:themeColor="text1"/>
                <w:sz w:val="24"/>
                <w:szCs w:val="24"/>
              </w:rPr>
            </w:pPr>
            <w:bookmarkStart w:id="0" w:name="_Hlk96445490"/>
            <w:r w:rsidRPr="00DC1567">
              <w:rPr>
                <w:rFonts w:ascii="Times New Roman" w:hAnsi="Times New Roman" w:cs="Times New Roman"/>
                <w:b/>
                <w:noProof w:val="0"/>
                <w:color w:val="000000" w:themeColor="text1"/>
                <w:sz w:val="24"/>
                <w:szCs w:val="24"/>
              </w:rPr>
              <w:t>Secțiunea 1:</w:t>
            </w:r>
          </w:p>
          <w:p w14:paraId="187C5833" w14:textId="3609BAAF" w:rsidR="00597846" w:rsidRPr="00DC1567" w:rsidRDefault="00A8207D" w:rsidP="0000398B">
            <w:pPr>
              <w:spacing w:beforeLines="60" w:before="144" w:afterLines="100" w:after="240"/>
              <w:jc w:val="center"/>
              <w:rPr>
                <w:rFonts w:ascii="Times New Roman" w:hAnsi="Times New Roman" w:cs="Times New Roman"/>
                <w:b/>
                <w:noProof w:val="0"/>
                <w:color w:val="000000" w:themeColor="text1"/>
                <w:sz w:val="24"/>
                <w:szCs w:val="24"/>
              </w:rPr>
            </w:pPr>
            <w:r w:rsidRPr="00DC1567">
              <w:rPr>
                <w:rFonts w:ascii="Times New Roman" w:hAnsi="Times New Roman" w:cs="Times New Roman"/>
                <w:b/>
                <w:noProof w:val="0"/>
                <w:color w:val="000000" w:themeColor="text1"/>
                <w:sz w:val="24"/>
                <w:szCs w:val="24"/>
              </w:rPr>
              <w:t>Titlul proiectului de act normativ</w:t>
            </w:r>
          </w:p>
          <w:p w14:paraId="6268A9BA" w14:textId="5A609A58" w:rsidR="0008230D" w:rsidRPr="00DC1567" w:rsidRDefault="006D1A8C" w:rsidP="0000398B">
            <w:pPr>
              <w:spacing w:beforeLines="60" w:before="144" w:afterLines="100" w:after="240"/>
              <w:jc w:val="center"/>
              <w:rPr>
                <w:rFonts w:ascii="Times New Roman" w:hAnsi="Times New Roman" w:cs="Times New Roman"/>
                <w:b/>
                <w:noProof w:val="0"/>
                <w:color w:val="000000" w:themeColor="text1"/>
                <w:sz w:val="24"/>
                <w:szCs w:val="24"/>
              </w:rPr>
            </w:pPr>
            <w:r w:rsidRPr="00DC1567">
              <w:rPr>
                <w:rFonts w:ascii="Times New Roman" w:hAnsi="Times New Roman" w:cs="Times New Roman"/>
                <w:b/>
                <w:noProof w:val="0"/>
                <w:color w:val="000000" w:themeColor="text1"/>
                <w:sz w:val="24"/>
                <w:szCs w:val="24"/>
              </w:rPr>
              <w:t xml:space="preserve">Ordonanță de urgență </w:t>
            </w:r>
            <w:r w:rsidR="00BA47BD" w:rsidRPr="00DC1567">
              <w:rPr>
                <w:rFonts w:ascii="Times New Roman" w:hAnsi="Times New Roman" w:cs="Times New Roman"/>
                <w:b/>
                <w:noProof w:val="0"/>
                <w:color w:val="000000" w:themeColor="text1"/>
                <w:sz w:val="24"/>
                <w:szCs w:val="24"/>
              </w:rPr>
              <w:t>privind instituirea unui mecanism temporar de limitare a adaosului comercial aplicat energiei electrice</w:t>
            </w:r>
            <w:bookmarkEnd w:id="0"/>
            <w:r w:rsidR="0000398B">
              <w:rPr>
                <w:rFonts w:ascii="Times New Roman" w:hAnsi="Times New Roman" w:cs="Times New Roman"/>
                <w:b/>
                <w:noProof w:val="0"/>
                <w:color w:val="000000" w:themeColor="text1"/>
                <w:sz w:val="24"/>
                <w:szCs w:val="24"/>
              </w:rPr>
              <w:t xml:space="preserve"> și gazelor naturale</w:t>
            </w:r>
          </w:p>
          <w:p w14:paraId="3AF94776" w14:textId="00EEDC77" w:rsidR="00F0312F" w:rsidRPr="00DC1567" w:rsidRDefault="00F0312F" w:rsidP="0000398B">
            <w:pPr>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p>
        </w:tc>
      </w:tr>
      <w:tr w:rsidR="00597846" w:rsidRPr="00DC1567" w14:paraId="6494F386" w14:textId="77777777" w:rsidTr="00B92AAB">
        <w:tc>
          <w:tcPr>
            <w:tcW w:w="9753" w:type="dxa"/>
            <w:gridSpan w:val="7"/>
          </w:tcPr>
          <w:p w14:paraId="284AA27A" w14:textId="77777777" w:rsidR="00597846" w:rsidRPr="00DC1567" w:rsidRDefault="00597846" w:rsidP="0000398B">
            <w:pPr>
              <w:spacing w:beforeLines="60" w:before="144" w:afterLines="100" w:after="240"/>
              <w:jc w:val="center"/>
              <w:rPr>
                <w:rFonts w:ascii="Times New Roman" w:hAnsi="Times New Roman" w:cs="Times New Roman"/>
                <w:b/>
                <w:noProof w:val="0"/>
                <w:color w:val="000000" w:themeColor="text1"/>
                <w:sz w:val="24"/>
                <w:szCs w:val="24"/>
              </w:rPr>
            </w:pPr>
            <w:r w:rsidRPr="00DC1567">
              <w:rPr>
                <w:rFonts w:ascii="Times New Roman" w:hAnsi="Times New Roman" w:cs="Times New Roman"/>
                <w:b/>
                <w:noProof w:val="0"/>
                <w:color w:val="000000" w:themeColor="text1"/>
                <w:sz w:val="24"/>
                <w:szCs w:val="24"/>
              </w:rPr>
              <w:t>Secțiunea a 2-a:</w:t>
            </w:r>
          </w:p>
          <w:p w14:paraId="314CA64F" w14:textId="5247EBC0" w:rsidR="00597846" w:rsidRPr="00DC1567" w:rsidRDefault="00597846" w:rsidP="0000398B">
            <w:pPr>
              <w:spacing w:beforeLines="60" w:before="144" w:afterLines="100" w:after="240"/>
              <w:jc w:val="center"/>
              <w:rPr>
                <w:rFonts w:ascii="Times New Roman" w:hAnsi="Times New Roman" w:cs="Times New Roman"/>
                <w:b/>
                <w:noProof w:val="0"/>
                <w:color w:val="000000" w:themeColor="text1"/>
                <w:sz w:val="24"/>
                <w:szCs w:val="24"/>
              </w:rPr>
            </w:pPr>
            <w:r w:rsidRPr="00DC1567">
              <w:rPr>
                <w:rFonts w:ascii="Times New Roman" w:hAnsi="Times New Roman" w:cs="Times New Roman"/>
                <w:b/>
                <w:noProof w:val="0"/>
                <w:color w:val="000000" w:themeColor="text1"/>
                <w:sz w:val="24"/>
                <w:szCs w:val="24"/>
              </w:rPr>
              <w:t>Motivul emiterii actului normativ</w:t>
            </w:r>
          </w:p>
        </w:tc>
      </w:tr>
      <w:tr w:rsidR="0094694D" w:rsidRPr="00DC1567" w14:paraId="526941AF" w14:textId="77777777" w:rsidTr="00B92AAB">
        <w:tc>
          <w:tcPr>
            <w:tcW w:w="9753" w:type="dxa"/>
            <w:gridSpan w:val="7"/>
          </w:tcPr>
          <w:p w14:paraId="51FA9F5F" w14:textId="724AE327" w:rsidR="0008230D" w:rsidRPr="00DC1567" w:rsidRDefault="0008230D" w:rsidP="0000398B">
            <w:p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2.1 Sursa proiectului de act normativ </w:t>
            </w:r>
          </w:p>
          <w:p w14:paraId="3675612D" w14:textId="2D52A69D" w:rsidR="00DC1567" w:rsidRPr="00DC1567" w:rsidRDefault="00DC1567" w:rsidP="0000398B">
            <w:pPr>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hAnsi="Times New Roman" w:cs="Times New Roman"/>
                <w:noProof w:val="0"/>
                <w:color w:val="000000" w:themeColor="text1"/>
                <w:sz w:val="24"/>
                <w:szCs w:val="24"/>
              </w:rPr>
              <w:t>Proiectul de act normativ este inițiat de Ministerul Energiei, în vederea asigurării funcționării corecte a pieței energiei electrice și a gazelor naturale, protejării consumatorilor finali și limitării distorsiunilor generate de practicile comerciale nejustificate în lanțul de comercializare și furnizare.</w:t>
            </w:r>
          </w:p>
          <w:p w14:paraId="245A3AAC" w14:textId="50E5F202" w:rsidR="00DC1567" w:rsidRPr="00DC1567" w:rsidRDefault="00DC1567" w:rsidP="0000398B">
            <w:pPr>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hAnsi="Times New Roman" w:cs="Times New Roman"/>
                <w:noProof w:val="0"/>
                <w:color w:val="000000" w:themeColor="text1"/>
                <w:sz w:val="24"/>
                <w:szCs w:val="24"/>
              </w:rPr>
              <w:t>Inițiativa are la bază evoluțiile recente ale celor două piețe, care evidențiază creșteri semnificative și persistente ale prețurilor finale, necorelate proporțional cu structura și costurile de producție. Astfel, pe piața energiei electrice, prețul mediu ponderat de furnizare a crescut de la aproximativ 482 lei/MWh în perioada mai</w:t>
            </w:r>
            <w:r>
              <w:rPr>
                <w:rFonts w:ascii="Times New Roman" w:hAnsi="Times New Roman" w:cs="Times New Roman"/>
                <w:noProof w:val="0"/>
                <w:color w:val="000000" w:themeColor="text1"/>
                <w:sz w:val="24"/>
                <w:szCs w:val="24"/>
              </w:rPr>
              <w:t>-</w:t>
            </w:r>
            <w:r w:rsidRPr="00DC1567">
              <w:rPr>
                <w:rFonts w:ascii="Times New Roman" w:hAnsi="Times New Roman" w:cs="Times New Roman"/>
                <w:noProof w:val="0"/>
                <w:color w:val="000000" w:themeColor="text1"/>
                <w:sz w:val="24"/>
                <w:szCs w:val="24"/>
              </w:rPr>
              <w:t>octombrie 2020 la circa 922 lei/MWh în perioada corespunzătoare din 2025, respectiv o majorare de aproape 91%.</w:t>
            </w:r>
          </w:p>
          <w:p w14:paraId="1CA2C458" w14:textId="5CA0B12F" w:rsidR="00DC1567" w:rsidRPr="00DC1567" w:rsidRDefault="00DC1567" w:rsidP="0000398B">
            <w:pPr>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hAnsi="Times New Roman" w:cs="Times New Roman"/>
                <w:noProof w:val="0"/>
                <w:color w:val="000000" w:themeColor="text1"/>
                <w:sz w:val="24"/>
                <w:szCs w:val="24"/>
              </w:rPr>
              <w:t xml:space="preserve">În mod similar, pe piața gazelor naturale, prețul mediu de vânzare către clienții finali a crescut de la aproximativ 97 lei/MWh în </w:t>
            </w:r>
            <w:r>
              <w:rPr>
                <w:rFonts w:ascii="Times New Roman" w:hAnsi="Times New Roman" w:cs="Times New Roman"/>
                <w:noProof w:val="0"/>
                <w:color w:val="000000" w:themeColor="text1"/>
                <w:sz w:val="24"/>
                <w:szCs w:val="24"/>
              </w:rPr>
              <w:t xml:space="preserve">perioada mai-octombrie </w:t>
            </w:r>
            <w:r w:rsidRPr="00DC1567">
              <w:rPr>
                <w:rFonts w:ascii="Times New Roman" w:hAnsi="Times New Roman" w:cs="Times New Roman"/>
                <w:noProof w:val="0"/>
                <w:color w:val="000000" w:themeColor="text1"/>
                <w:sz w:val="24"/>
                <w:szCs w:val="24"/>
              </w:rPr>
              <w:t>2020 la peste 196 lei/MWh în 2025, ceea ce reprezintă o creștere de peste 100%, în condițiile menținerii unei structuri relativ stabile a producției interne.</w:t>
            </w:r>
          </w:p>
          <w:p w14:paraId="597E03EB" w14:textId="2B5314D3" w:rsidR="00BA47BD" w:rsidRPr="00DC1567" w:rsidRDefault="00DC1567"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hAnsi="Times New Roman" w:cs="Times New Roman"/>
                <w:noProof w:val="0"/>
                <w:color w:val="000000" w:themeColor="text1"/>
                <w:sz w:val="24"/>
                <w:szCs w:val="24"/>
              </w:rPr>
              <w:t>Proiectul urmărește corectarea disfuncționalităților structurale manifestate prin extinderea necontrolată a marjelor comerciale practicate de furnizori, care au contribuit decisiv la creșterea prețurilor finale suportate de consumatori, fără o corelare proporțională cu evoluția costurilor reale din sectorul energetic.</w:t>
            </w:r>
          </w:p>
        </w:tc>
      </w:tr>
      <w:tr w:rsidR="0094694D" w:rsidRPr="00DC1567" w14:paraId="2781B999" w14:textId="77777777" w:rsidTr="00B92AAB">
        <w:tc>
          <w:tcPr>
            <w:tcW w:w="9753" w:type="dxa"/>
            <w:gridSpan w:val="7"/>
          </w:tcPr>
          <w:p w14:paraId="538006C0" w14:textId="506425C4" w:rsidR="0008230D" w:rsidRPr="00DC1567" w:rsidRDefault="0008230D" w:rsidP="0000398B">
            <w:p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2.2 Descrierea situației actuale</w:t>
            </w:r>
          </w:p>
          <w:p w14:paraId="7154DA88" w14:textId="3ABA6B11"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Piața energiei din România a cunoscut în ultimii ani evoluții marcate de un nivel ridicat de volatilitate și de creșteri semnificative ale prețurilor finale suportate de consumatorii casnici și non-casnici. Aceste majorări nu reflectă în mod direct și proporțional evoluția costurilor reale de producție, transport și distribuție, fiind determinate într-o măsură semnificativă de aplicarea unor adaosuri comerciale cumulative și disproporționate pe lanțul de comercializare și furnizare.</w:t>
            </w:r>
          </w:p>
          <w:p w14:paraId="2C9B4EB4" w14:textId="1CAA3881"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 xml:space="preserve">Aceste practici generează distorsiuni importante ale mecanismelor concurențiale, afectează capacitatea de plată a consumatorilor, reduc competitivitatea economiei naționale și amplifică riscul </w:t>
            </w:r>
            <w:r w:rsidRPr="0000398B">
              <w:rPr>
                <w:rFonts w:ascii="Times New Roman" w:eastAsiaTheme="majorEastAsia" w:hAnsi="Times New Roman" w:cs="Times New Roman"/>
                <w:noProof w:val="0"/>
                <w:color w:val="000000" w:themeColor="text1"/>
                <w:sz w:val="24"/>
                <w:szCs w:val="24"/>
                <w:lang w:eastAsia="en-US"/>
              </w:rPr>
              <w:lastRenderedPageBreak/>
              <w:t>de sărăcie energetică, cu consecințe sociale semnificative. În prezent, intervenția statului se realizează preponderent prin mecanisme de plafonare și compensare a prețurilor finale, care implică un impact bugetar considerabil și nu vizează cauza structurală a creșterii prețurilor, respectiv formarea necontrolată a adaosurilor comerciale pe lanțul de furnizare.</w:t>
            </w:r>
          </w:p>
          <w:p w14:paraId="3F1B5400" w14:textId="494671B9" w:rsidR="0000398B" w:rsidRPr="0000398B" w:rsidRDefault="0000398B"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00398B">
              <w:rPr>
                <w:rFonts w:ascii="Times New Roman" w:eastAsiaTheme="majorEastAsia" w:hAnsi="Times New Roman" w:cs="Times New Roman"/>
                <w:b/>
                <w:bCs/>
                <w:noProof w:val="0"/>
                <w:color w:val="000000" w:themeColor="text1"/>
                <w:sz w:val="24"/>
                <w:szCs w:val="24"/>
                <w:lang w:eastAsia="en-US"/>
              </w:rPr>
              <w:t>Evoluția pieței gazelor naturale</w:t>
            </w:r>
          </w:p>
          <w:p w14:paraId="1672493D"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Analiza evoluției prețului mediu de vânzare a gazelor naturale către clienții finali în perioada mai–octombrie 2020 comparativ cu aceeași perioadă din anul 2025 evidențiază o creștere semnificativă și persistentă. Prețul mediu lunar a crescut de la aproximativ 97,2 lei/MWh în 2020 la 196,2 lei/MWh în 2025, ceea ce reprezintă o majorare de peste 100%.</w:t>
            </w:r>
          </w:p>
          <w:p w14:paraId="39705658"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p>
          <w:p w14:paraId="00F3E10B" w14:textId="2E859D46"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La nivel lunar, creșterile sunt consistente, variind între aproximativ +63% și +135%, confirmând caracterul structural al scumpirii și nu unul conjunctural sau izolat. Această dublare a prețului într-un interval de cinci ani indică o modificare substanțială a condițiilor de formare a prețului pe piața gazelor naturale.</w:t>
            </w:r>
          </w:p>
          <w:p w14:paraId="3B6ED9C7" w14:textId="56EF62D1"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În același interval, structura pieței de producție a gazelor naturale a rămas practic neschimbată. Principalii producători continuă să dețină cote de piață similare, respectiv Romgaz cu aproximativ 52–53%, OMV Petrom cu aproximativ 33–34%, iar ceilalți producători cumulând circa 13%. Variațiile sunt marginale și nu indică modificări structurale relevante ale capacității de producție sau ale nivelului de concentrare.</w:t>
            </w:r>
          </w:p>
          <w:p w14:paraId="36A9B34D" w14:textId="38AEC458"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Stabilitatea structurii de producție, coroborată cu creșterea de peste 100% a prețului final, indică faptul că această evoluție nu poate fi explicată prin factori de ofertă interni sau printr-o restrângere a concurenței între producători. În absența unor schimbări structurale în producție, majorarea accentuată reflectă preponderent creșterea componentelor comerciale din lanțul de furnizare.</w:t>
            </w:r>
          </w:p>
          <w:p w14:paraId="522D0A19" w14:textId="23AF2456"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În acest context, furnizorii care achiziționează gazele naturale pe piața angro și le revând consumatorilor finali joacă un rol determinant în formarea prețului final, iar evoluțiile recente sugerează o extindere semnificativă a marjelor comerciale practicate.</w:t>
            </w:r>
          </w:p>
          <w:p w14:paraId="229780A2" w14:textId="1111ABD8" w:rsidR="0000398B" w:rsidRPr="0000398B" w:rsidRDefault="0000398B"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00398B">
              <w:rPr>
                <w:rFonts w:ascii="Times New Roman" w:eastAsiaTheme="majorEastAsia" w:hAnsi="Times New Roman" w:cs="Times New Roman"/>
                <w:b/>
                <w:bCs/>
                <w:noProof w:val="0"/>
                <w:color w:val="000000" w:themeColor="text1"/>
                <w:sz w:val="24"/>
                <w:szCs w:val="24"/>
                <w:lang w:eastAsia="en-US"/>
              </w:rPr>
              <w:t>Evoluția pieței energiei electrice</w:t>
            </w:r>
          </w:p>
          <w:p w14:paraId="7911A36C" w14:textId="6DFA4493"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O dinamică similară se observă și pe piața energiei electrice. Analiza prețului mediu ponderat de furnizare în perioada mai–octombrie 2020 comparativ cu aceeași perioadă din anul 2025 arată o creștere de la aproximativ 482,1 lei/MWh la 922,3 lei/MWh, reprezentând o majorare de circa 91%.</w:t>
            </w:r>
          </w:p>
          <w:p w14:paraId="7B5A6300" w14:textId="089D373C"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La nivel lunar, creșterile se mențin ridicate, variind de la +67% și +77% în primele luni analizate, până la valori care depășesc +100% în intervalul august</w:t>
            </w:r>
            <w:r w:rsidR="008F08DC">
              <w:rPr>
                <w:rFonts w:ascii="Times New Roman" w:eastAsiaTheme="majorEastAsia" w:hAnsi="Times New Roman" w:cs="Times New Roman"/>
                <w:noProof w:val="0"/>
                <w:color w:val="000000" w:themeColor="text1"/>
                <w:sz w:val="24"/>
                <w:szCs w:val="24"/>
                <w:lang w:eastAsia="en-US"/>
              </w:rPr>
              <w:t>-</w:t>
            </w:r>
            <w:r w:rsidRPr="0000398B">
              <w:rPr>
                <w:rFonts w:ascii="Times New Roman" w:eastAsiaTheme="majorEastAsia" w:hAnsi="Times New Roman" w:cs="Times New Roman"/>
                <w:noProof w:val="0"/>
                <w:color w:val="000000" w:themeColor="text1"/>
                <w:sz w:val="24"/>
                <w:szCs w:val="24"/>
                <w:lang w:eastAsia="en-US"/>
              </w:rPr>
              <w:t>octombrie. Această evoluție confirmă caracterul structural al scumpirii și indică o modificare majoră a mecanismelor de formare a prețului în segmentul de furnizare.</w:t>
            </w:r>
          </w:p>
          <w:p w14:paraId="4CE54E32" w14:textId="0006043D"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În același timp, structura pieței de producție a energiei electrice nu evidențiază modificări care să poată justifica o astfel de creștere aproape dublă a prețului final. Principalii producători rămân în linii mari aceiași, respectiv Hidroelectrica, Nuclearelectrica, OMV Petrom și Complexul Energetic Oltenia, cu ponderi relativ comparabile între perioade.</w:t>
            </w:r>
          </w:p>
          <w:p w14:paraId="51E7DC22" w14:textId="01DD5575"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Deși se înregistrează variații punctuale ale cotelor de piață, nu se observă schimbări structurale care să explice prin ele însele o creștere de aproximativ 91% a prețului mediu ponderat de furnizare. Stabilitatea relativă a structurii de producție, coroborată cu scumpirea accentuată a prețului final, indică faptul că evoluția nu poate fi explicată exclusiv prin factori de ofertă sau prin modificări semnificative ale concurenței la nivelul producătorilor.</w:t>
            </w:r>
          </w:p>
          <w:p w14:paraId="46F4D294"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În absența unor schimbări structurale determinante în producție, creșterea prețurilor reflectă în mod preponderent majorarea componentelor comerciale din lanțul de furnizare, respectiv extinderea marjelor și adaosurilor practicate pe segmentul de furnizare și tranzacționare, precum și transmiterea amplificată a variațiilor de preț către consumatori.</w:t>
            </w:r>
          </w:p>
          <w:p w14:paraId="75BA4B20"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p>
          <w:p w14:paraId="019D21E0" w14:textId="3ECF975C"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Creșterea disproporționată a prețurilor finale, în raport cu stabilitatea structurală a producției atât în sectorul gazelor naturale, cât și al energiei electrice, evidențiază o acumulare a presiunii de preț în componenta comercială a lanțului energetic. Această situație sugerează existența unor marje comerciale excesive și a unei discipline concurențiale insuficiente pe segmentul de furnizare.</w:t>
            </w:r>
          </w:p>
          <w:p w14:paraId="3B99D359" w14:textId="3CEE823C"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Dezechilibrul dintre evoluția prețurilor și fundamentele economice ale producției justifică necesitatea unei intervenții de reglementare orientate asupra componentei comerciale a prețului. Lipsa unui mecanism de control al marjelor permite apariția unor profituri necorelate cu costurile reale sau cu investițiile din sector, transferate direct asupra consumatorilor finali.</w:t>
            </w:r>
          </w:p>
          <w:p w14:paraId="30E3A019" w14:textId="17DE12B0" w:rsidR="009525A7" w:rsidRPr="00DC1567"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În acest context, instituirea unui mecanism de reglementare a marjei de profit a furnizorilor este justificată din punct de vedere economic, concurențial și social, având ca obiectiv limitarea practicilor comerciale excesive, creșterea transparenței în formarea prețului și protejarea consumatorilor împotriva majorărilor nejustificate. Un asemenea mecanism ar contribui la stabilizarea pieței, la corelarea prețurilor cu fundamentele economice reale și la reducerea necesității intervențiilor bugetare costisitoare de tip plafonare și compensare.</w:t>
            </w:r>
          </w:p>
        </w:tc>
      </w:tr>
      <w:tr w:rsidR="0094694D" w:rsidRPr="00DC1567" w14:paraId="0C610A0A" w14:textId="77777777" w:rsidTr="00B92AAB">
        <w:tc>
          <w:tcPr>
            <w:tcW w:w="9753" w:type="dxa"/>
            <w:gridSpan w:val="7"/>
          </w:tcPr>
          <w:p w14:paraId="3525C0D0" w14:textId="1A10A610" w:rsidR="00FB6AB0" w:rsidRPr="00DC1567" w:rsidRDefault="0008230D" w:rsidP="0000398B">
            <w:p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lastRenderedPageBreak/>
              <w:t>2.3 Schimbări preconizate</w:t>
            </w:r>
          </w:p>
          <w:p w14:paraId="0BC44AEB" w14:textId="63A277FD"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Prezentul act normativ instituie un mecanism temporar de limitare a adaosului comercial aplicat în activitățile de comercializare en-gros și de furnizare a energiei electrice și a gazelor naturale către consumatorii finali, în scopul corectării distorsiunilor de preț identificate pe lanțul de comercializare și furnizare.</w:t>
            </w:r>
          </w:p>
          <w:p w14:paraId="047AC7E8"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În acest sens, se stabilește un nivel maxim al adaosului comercial de:</w:t>
            </w:r>
          </w:p>
          <w:p w14:paraId="05CB1689" w14:textId="5D362746" w:rsidR="0000398B" w:rsidRPr="0000398B" w:rsidRDefault="0000398B" w:rsidP="0000398B">
            <w:pPr>
              <w:pStyle w:val="Listparagraf"/>
              <w:numPr>
                <w:ilvl w:val="0"/>
                <w:numId w:val="60"/>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Pr>
                <w:rFonts w:ascii="Times New Roman" w:eastAsiaTheme="majorEastAsia" w:hAnsi="Times New Roman" w:cs="Times New Roman"/>
                <w:noProof w:val="0"/>
                <w:color w:val="000000" w:themeColor="text1"/>
                <w:sz w:val="24"/>
                <w:szCs w:val="24"/>
                <w:lang w:eastAsia="en-US"/>
              </w:rPr>
              <w:t>3</w:t>
            </w:r>
            <w:r w:rsidRPr="0000398B">
              <w:rPr>
                <w:rFonts w:ascii="Times New Roman" w:eastAsiaTheme="majorEastAsia" w:hAnsi="Times New Roman" w:cs="Times New Roman"/>
                <w:noProof w:val="0"/>
                <w:color w:val="000000" w:themeColor="text1"/>
                <w:sz w:val="24"/>
                <w:szCs w:val="24"/>
                <w:lang w:eastAsia="en-US"/>
              </w:rPr>
              <w:t>% pentru activitățile de comercializare en-gros;</w:t>
            </w:r>
          </w:p>
          <w:p w14:paraId="49E21FF7" w14:textId="4F808062" w:rsidR="0000398B" w:rsidRPr="0000398B" w:rsidRDefault="0000398B" w:rsidP="0000398B">
            <w:pPr>
              <w:pStyle w:val="Listparagraf"/>
              <w:numPr>
                <w:ilvl w:val="0"/>
                <w:numId w:val="60"/>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Pr>
                <w:rFonts w:ascii="Times New Roman" w:eastAsiaTheme="majorEastAsia" w:hAnsi="Times New Roman" w:cs="Times New Roman"/>
                <w:noProof w:val="0"/>
                <w:color w:val="000000" w:themeColor="text1"/>
                <w:sz w:val="24"/>
                <w:szCs w:val="24"/>
                <w:lang w:eastAsia="en-US"/>
              </w:rPr>
              <w:t>5</w:t>
            </w:r>
            <w:r w:rsidRPr="0000398B">
              <w:rPr>
                <w:rFonts w:ascii="Times New Roman" w:eastAsiaTheme="majorEastAsia" w:hAnsi="Times New Roman" w:cs="Times New Roman"/>
                <w:noProof w:val="0"/>
                <w:color w:val="000000" w:themeColor="text1"/>
                <w:sz w:val="24"/>
                <w:szCs w:val="24"/>
                <w:lang w:eastAsia="en-US"/>
              </w:rPr>
              <w:t>% pentru activitățile de furnizare către consumatorii finali,</w:t>
            </w:r>
          </w:p>
          <w:p w14:paraId="775034A6" w14:textId="0FCA07B8"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aplicabil în mod unitar pentru ambele sectoare energetice – energie electrică și gaze naturale.</w:t>
            </w:r>
          </w:p>
          <w:p w14:paraId="4532527D" w14:textId="64E0FE7A"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Măsura are caracter temporar, fiind instituită pentru o perioadă determinată de 12 luni, și nu afectează:</w:t>
            </w:r>
          </w:p>
          <w:p w14:paraId="4E77CEE5" w14:textId="488C7D56" w:rsidR="0000398B" w:rsidRPr="0000398B" w:rsidRDefault="0000398B" w:rsidP="0000398B">
            <w:pPr>
              <w:pStyle w:val="Listparagraf"/>
              <w:numPr>
                <w:ilvl w:val="0"/>
                <w:numId w:val="61"/>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prețul energiei electrice și al gazelor naturale ca marfă;</w:t>
            </w:r>
          </w:p>
          <w:p w14:paraId="3F5CE330" w14:textId="4DEE3370" w:rsidR="0000398B" w:rsidRPr="0000398B" w:rsidRDefault="0000398B" w:rsidP="0000398B">
            <w:pPr>
              <w:pStyle w:val="Listparagraf"/>
              <w:numPr>
                <w:ilvl w:val="0"/>
                <w:numId w:val="61"/>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tarifele reglementate de transport și distribuție;</w:t>
            </w:r>
          </w:p>
          <w:p w14:paraId="69847875" w14:textId="77777777" w:rsidR="0000398B" w:rsidRPr="0000398B" w:rsidRDefault="0000398B" w:rsidP="0000398B">
            <w:pPr>
              <w:pStyle w:val="Listparagraf"/>
              <w:numPr>
                <w:ilvl w:val="0"/>
                <w:numId w:val="61"/>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mecanismele concurențiale de funcționare ale piețelor angro.</w:t>
            </w:r>
          </w:p>
          <w:p w14:paraId="1A0E2069"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p>
          <w:p w14:paraId="2AFE11F2"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Intervenția vizează exclusiv componenta comercială a prețului final, respectiv marjele practicate în activitățile de comercializare și furnizare, cu scopul restabilirii unei corelări echilibrate între prețurile finale și costurile reale din sector.</w:t>
            </w:r>
          </w:p>
          <w:p w14:paraId="7003346C"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p>
          <w:p w14:paraId="14C2B331" w14:textId="46382C73" w:rsidR="00BC57AE" w:rsidRPr="0000398B" w:rsidRDefault="0000398B" w:rsidP="0000398B">
            <w:pPr>
              <w:pStyle w:val="Titlu1"/>
              <w:numPr>
                <w:ilvl w:val="0"/>
                <w:numId w:val="0"/>
              </w:numPr>
              <w:spacing w:beforeLines="60" w:before="144" w:afterLines="100" w:after="240"/>
              <w:ind w:left="-23"/>
              <w:rPr>
                <w:rFonts w:ascii="Times New Roman" w:eastAsiaTheme="majorEastAsia" w:hAnsi="Times New Roman" w:cs="Times New Roman"/>
                <w:b w:val="0"/>
                <w:bCs/>
              </w:rPr>
            </w:pPr>
            <w:r w:rsidRPr="0000398B">
              <w:rPr>
                <w:rFonts w:ascii="Times New Roman" w:eastAsiaTheme="majorEastAsia" w:hAnsi="Times New Roman" w:cs="Times New Roman"/>
                <w:b w:val="0"/>
                <w:bCs/>
              </w:rPr>
              <w:t>Prin limitarea adaosurilor comerciale excesive se urmărește creșterea transparenței în formarea prețurilor, reducerea presiunii asupra consumatorilor finali și diminuarea necesității intervențiilor bugetare de tip plafonare și compensare.</w:t>
            </w:r>
          </w:p>
        </w:tc>
      </w:tr>
      <w:tr w:rsidR="0094694D" w:rsidRPr="00DC1567" w14:paraId="641498AF" w14:textId="77777777" w:rsidTr="00B92AAB">
        <w:tc>
          <w:tcPr>
            <w:tcW w:w="9753" w:type="dxa"/>
            <w:gridSpan w:val="7"/>
          </w:tcPr>
          <w:p w14:paraId="76824EDA" w14:textId="77777777" w:rsidR="0008230D" w:rsidRPr="00DC1567" w:rsidRDefault="0008230D" w:rsidP="0000398B">
            <w:pPr>
              <w:spacing w:beforeLines="60" w:before="144" w:afterLines="100" w:after="240"/>
              <w:rPr>
                <w:rFonts w:ascii="Times New Roman" w:eastAsiaTheme="majorEastAsia" w:hAnsi="Times New Roman" w:cs="Times New Roman"/>
                <w:bCs/>
                <w:noProof w:val="0"/>
                <w:color w:val="000000" w:themeColor="text1"/>
                <w:sz w:val="24"/>
                <w:szCs w:val="24"/>
                <w:lang w:eastAsia="en-US"/>
              </w:rPr>
            </w:pPr>
            <w:r w:rsidRPr="00DC1567">
              <w:rPr>
                <w:rFonts w:ascii="Times New Roman" w:eastAsiaTheme="majorEastAsia" w:hAnsi="Times New Roman" w:cs="Times New Roman"/>
                <w:bCs/>
                <w:noProof w:val="0"/>
                <w:color w:val="000000" w:themeColor="text1"/>
                <w:sz w:val="24"/>
                <w:szCs w:val="24"/>
                <w:lang w:eastAsia="en-US"/>
              </w:rPr>
              <w:t>2.4 Alte informații *)</w:t>
            </w:r>
          </w:p>
          <w:p w14:paraId="5C41D1A5" w14:textId="3CF94ECB" w:rsidR="002033AA" w:rsidRPr="00DC1567" w:rsidRDefault="00C773B6"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face referiri la acest subiect.</w:t>
            </w:r>
          </w:p>
        </w:tc>
      </w:tr>
      <w:tr w:rsidR="0094694D" w:rsidRPr="00DC1567" w14:paraId="2E90ECA0" w14:textId="77777777" w:rsidTr="00B92AAB">
        <w:tc>
          <w:tcPr>
            <w:tcW w:w="9753" w:type="dxa"/>
            <w:gridSpan w:val="7"/>
          </w:tcPr>
          <w:p w14:paraId="55D802EC" w14:textId="38DA1464" w:rsidR="0008230D" w:rsidRPr="00DC1567" w:rsidRDefault="0008230D" w:rsidP="0000398B">
            <w:pPr>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Secțiunea a 3-a:</w:t>
            </w:r>
          </w:p>
          <w:p w14:paraId="7769BD52" w14:textId="23358C66" w:rsidR="0008230D" w:rsidRPr="00DC1567" w:rsidRDefault="0008230D" w:rsidP="0000398B">
            <w:pPr>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Impactul socioeconomic **)</w:t>
            </w:r>
          </w:p>
        </w:tc>
      </w:tr>
      <w:tr w:rsidR="0094694D" w:rsidRPr="00DC1567" w14:paraId="70689D1B" w14:textId="77777777" w:rsidTr="00B92AAB">
        <w:tc>
          <w:tcPr>
            <w:tcW w:w="9753" w:type="dxa"/>
            <w:gridSpan w:val="7"/>
          </w:tcPr>
          <w:p w14:paraId="33D1EC81" w14:textId="5F84552E" w:rsidR="00777E28"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3.1 Descrierea generală a beneficiilor și costurilor estimate ca urmare a intrării în vigoare a actului normativ</w:t>
            </w:r>
          </w:p>
          <w:p w14:paraId="53F627F3" w14:textId="740E0CAB" w:rsidR="00396745" w:rsidRPr="0000398B" w:rsidRDefault="00396745"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Adoptarea prezentului act normativ va genera efecte pozitive semnificative la nivel economic și social, prin corectarea disfuncționalităților existente în formarea prețurilor energiei electrice și prin protejarea consumatorilor finali.</w:t>
            </w:r>
          </w:p>
          <w:p w14:paraId="0C4401E4" w14:textId="7893F340" w:rsidR="00396745" w:rsidRPr="00DC1567" w:rsidRDefault="00396745"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Beneficii:</w:t>
            </w:r>
          </w:p>
          <w:p w14:paraId="089BE9D3" w14:textId="5AF2D89A" w:rsidR="00396745" w:rsidRPr="00DC1567" w:rsidRDefault="00396745" w:rsidP="0000398B">
            <w:pPr>
              <w:pStyle w:val="Listparagraf"/>
              <w:numPr>
                <w:ilvl w:val="0"/>
                <w:numId w:val="59"/>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reducerea prețului final al energiei electrice suportat de consumatori casnici și non-casnici, ca urmare a limitării adaosurilor comerciale excesive;</w:t>
            </w:r>
          </w:p>
          <w:p w14:paraId="454D4190" w14:textId="4D4DCAEB" w:rsidR="00396745" w:rsidRPr="00DC1567" w:rsidRDefault="00396745" w:rsidP="0000398B">
            <w:pPr>
              <w:pStyle w:val="Listparagraf"/>
              <w:numPr>
                <w:ilvl w:val="0"/>
                <w:numId w:val="59"/>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diminuarea riscului de sărăcie energetică și creșterea accesibilității energiei electrice pentru populație;</w:t>
            </w:r>
          </w:p>
          <w:p w14:paraId="038254DF" w14:textId="5172B29E" w:rsidR="00396745" w:rsidRPr="00DC1567" w:rsidRDefault="00396745" w:rsidP="0000398B">
            <w:pPr>
              <w:pStyle w:val="Listparagraf"/>
              <w:numPr>
                <w:ilvl w:val="0"/>
                <w:numId w:val="59"/>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stabilizarea pieței energiei electrice și creșterea predictibilității pentru consumatori și operatori economici;</w:t>
            </w:r>
          </w:p>
          <w:p w14:paraId="788CC880" w14:textId="53460D1E" w:rsidR="00396745" w:rsidRPr="00DC1567" w:rsidRDefault="00396745" w:rsidP="0000398B">
            <w:pPr>
              <w:pStyle w:val="Listparagraf"/>
              <w:numPr>
                <w:ilvl w:val="0"/>
                <w:numId w:val="59"/>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reducerea presiunii asupra bugetului public prin limitarea necesității măsurilor de compensare și subvenționare;</w:t>
            </w:r>
          </w:p>
          <w:p w14:paraId="0BD79DF7" w14:textId="1DB76C1C" w:rsidR="00396745" w:rsidRPr="0000398B" w:rsidRDefault="00396745" w:rsidP="0000398B">
            <w:pPr>
              <w:pStyle w:val="Listparagraf"/>
              <w:numPr>
                <w:ilvl w:val="0"/>
                <w:numId w:val="59"/>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consolidarea funcționării concurențiale a pieței prin eliminarea practicilor speculative.</w:t>
            </w:r>
          </w:p>
          <w:p w14:paraId="7B8A2289" w14:textId="20BB2C24" w:rsidR="00396745" w:rsidRPr="00DC1567" w:rsidRDefault="00396745"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Costuri</w:t>
            </w:r>
          </w:p>
          <w:p w14:paraId="0D2F7358" w14:textId="707C5677" w:rsidR="00F60A23" w:rsidRPr="00DC1567" w:rsidRDefault="00396745"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Măsura instituită nu generează costuri bugetare directe și nu implică alocări suplimentare de fonduri publice. De asemenea, aceasta nu introduce obligații administrative suplimentare semnificative pentru operatorii economici, limitarea adaosului comercial fiind aplicată în cadrul activităților curente de comercializare și furnizare.</w:t>
            </w:r>
          </w:p>
        </w:tc>
      </w:tr>
      <w:tr w:rsidR="0094694D" w:rsidRPr="00DC1567" w14:paraId="5647DBCF" w14:textId="77777777" w:rsidTr="00B92AAB">
        <w:tc>
          <w:tcPr>
            <w:tcW w:w="9753" w:type="dxa"/>
            <w:gridSpan w:val="7"/>
          </w:tcPr>
          <w:p w14:paraId="61943055" w14:textId="1D57EB7C" w:rsidR="00AC3450"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3.2 Impactul social</w:t>
            </w:r>
          </w:p>
          <w:p w14:paraId="772FD3AE" w14:textId="47991CDF" w:rsidR="00396745" w:rsidRPr="00DC1567" w:rsidRDefault="00396745"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Adoptarea prezentului act normativ va avea un impact social pozitiv semnificativ, prin reducerea poverii financiare generate de prețurile ridicate ale energiei electrice asupra gospodăriilor și asupra consumatorilor non-casnici cu rol esențial în economie.</w:t>
            </w:r>
          </w:p>
          <w:p w14:paraId="123CBB59" w14:textId="57F56EE7" w:rsidR="00396745" w:rsidRPr="00DC1567" w:rsidRDefault="00396745"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Limitarea adaosului comercial va contribui la creșterea accesibilității energiei electrice pentru populație, la diminuarea riscului de sărăcie energetică și la protejarea categoriilor vulnerabile, fără a afecta continuitatea furnizării sau calitatea serviciilor.</w:t>
            </w:r>
          </w:p>
          <w:p w14:paraId="15F0E9D9" w14:textId="08D13398" w:rsidR="00395FA1" w:rsidRPr="00DC1567" w:rsidRDefault="00396745"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Totodată, stabilizarea prețurilor finale va genera un cadru predictibil pentru consumatori și pentru mediul economic, reducând tensiunile sociale asociate creșterilor bruște ale costurilor și sprijinind menținerea activităților economice esențiale.</w:t>
            </w:r>
          </w:p>
        </w:tc>
      </w:tr>
      <w:tr w:rsidR="0094694D" w:rsidRPr="00DC1567" w14:paraId="04A10217" w14:textId="77777777" w:rsidTr="00B92AAB">
        <w:tc>
          <w:tcPr>
            <w:tcW w:w="9753" w:type="dxa"/>
            <w:gridSpan w:val="7"/>
          </w:tcPr>
          <w:p w14:paraId="07014C77" w14:textId="77777777" w:rsidR="0008230D"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3.3 Impactul asupra drepturilor și libertăților fundamentale ale omului</w:t>
            </w:r>
          </w:p>
          <w:p w14:paraId="2E155D17" w14:textId="03DC7EF0" w:rsidR="00DE32EC" w:rsidRPr="00DC1567" w:rsidRDefault="003331F4"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face referiri la acest subiect.</w:t>
            </w:r>
          </w:p>
        </w:tc>
      </w:tr>
      <w:tr w:rsidR="0094694D" w:rsidRPr="00DC1567" w14:paraId="4D13D1DF" w14:textId="77777777" w:rsidTr="00B92AAB">
        <w:tc>
          <w:tcPr>
            <w:tcW w:w="9753" w:type="dxa"/>
            <w:gridSpan w:val="7"/>
          </w:tcPr>
          <w:p w14:paraId="571EA103" w14:textId="2640E47F" w:rsidR="002033AA"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3.4 Impactul macroeconomic</w:t>
            </w:r>
          </w:p>
        </w:tc>
      </w:tr>
      <w:tr w:rsidR="0094694D" w:rsidRPr="00DC1567" w14:paraId="421552BE" w14:textId="77777777" w:rsidTr="00B92AAB">
        <w:tc>
          <w:tcPr>
            <w:tcW w:w="9753" w:type="dxa"/>
            <w:gridSpan w:val="7"/>
          </w:tcPr>
          <w:p w14:paraId="5833BB53" w14:textId="77777777" w:rsidR="0008230D"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3.4.1 Impactul asupra economiei și asupra principalilor indicatori macroeconomici</w:t>
            </w:r>
          </w:p>
          <w:p w14:paraId="6E2CA726" w14:textId="572CD467" w:rsidR="00D47545" w:rsidRPr="00DC1567" w:rsidRDefault="00BA47B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2A9D84A5" w14:textId="77777777" w:rsidTr="00B92AAB">
        <w:tc>
          <w:tcPr>
            <w:tcW w:w="9753" w:type="dxa"/>
            <w:gridSpan w:val="7"/>
          </w:tcPr>
          <w:p w14:paraId="4E2A23BE" w14:textId="77777777" w:rsidR="0008230D"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3.4.2 Impactul asupra mediului concurențial si domeniul ajutoarelor de stat</w:t>
            </w:r>
          </w:p>
          <w:p w14:paraId="43F4C3FF" w14:textId="754940B3"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Proiectul de act normativ nu introduce discriminări între operatorii economici activi pe piața energiei electrice și nu conferă avantaje selective anumitor categorii de participanți la piață.</w:t>
            </w:r>
          </w:p>
          <w:p w14:paraId="1E71F683" w14:textId="1643FC61"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Limitarea temporară a adaosului comercial se aplică în mod uniform tuturor operatorilor care desfășoară activități de comercializare en-gros și de furnizare a energiei electrice către consumatorii finali, indiferent de forma de proprietate, dimensiunea acestora sau structura capitalului.</w:t>
            </w:r>
          </w:p>
          <w:p w14:paraId="564527B1" w14:textId="4935D7B3"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Intervenția nu afectează mecanismele concurențiale de formare a prețului energiei ca marfă și nu restricționează accesul pe piață, vizând exclusiv componenta comercială a prețului final, în contexte de dezechilibru accentuat al marjelor.</w:t>
            </w:r>
          </w:p>
          <w:p w14:paraId="35BC1E79" w14:textId="3100C862"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Măsura nu constituie ajutor de stat în sensul art. 107 din Tratatul privind funcționarea Uniunii Europene, întrucât:</w:t>
            </w:r>
          </w:p>
          <w:p w14:paraId="018877CE" w14:textId="4D7EC0AA" w:rsidR="0000398B" w:rsidRPr="0000398B" w:rsidRDefault="0000398B" w:rsidP="0000398B">
            <w:pPr>
              <w:pStyle w:val="Listparagraf"/>
              <w:numPr>
                <w:ilvl w:val="0"/>
                <w:numId w:val="62"/>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nu implică transfer de resurse publice;</w:t>
            </w:r>
          </w:p>
          <w:p w14:paraId="2F3A407F" w14:textId="418C2836" w:rsidR="0000398B" w:rsidRPr="0000398B" w:rsidRDefault="0000398B" w:rsidP="0000398B">
            <w:pPr>
              <w:pStyle w:val="Listparagraf"/>
              <w:numPr>
                <w:ilvl w:val="0"/>
                <w:numId w:val="62"/>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nu conferă avantaje economice selective;</w:t>
            </w:r>
          </w:p>
          <w:p w14:paraId="02FBF59B" w14:textId="7A40E066" w:rsidR="0000398B" w:rsidRPr="0000398B" w:rsidRDefault="0000398B" w:rsidP="0000398B">
            <w:pPr>
              <w:pStyle w:val="Listparagraf"/>
              <w:numPr>
                <w:ilvl w:val="0"/>
                <w:numId w:val="62"/>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nu favorizează anumite întreprinderi sau sectoare;</w:t>
            </w:r>
          </w:p>
          <w:p w14:paraId="72CFAA0E" w14:textId="4F1400B8" w:rsidR="0000398B" w:rsidRPr="0000398B" w:rsidRDefault="0000398B" w:rsidP="0000398B">
            <w:pPr>
              <w:pStyle w:val="Listparagraf"/>
              <w:numPr>
                <w:ilvl w:val="0"/>
                <w:numId w:val="62"/>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se aplică în mod general și nediscriminatoriu tuturor operatorilor vizați.</w:t>
            </w:r>
          </w:p>
          <w:p w14:paraId="691A222A" w14:textId="23BBC38A" w:rsidR="00DE32EC" w:rsidRPr="00DC1567"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Prin caracterul său general, temporar și proporțional cu obiectivul de corectare a distorsiunilor de piață, intervenția contribuie la menținerea unui cadru concurențial echilibrat și la funcționarea corectă a pieței energiei electrice, fără a afecta principiile economiei de piață.</w:t>
            </w:r>
          </w:p>
        </w:tc>
      </w:tr>
      <w:tr w:rsidR="0094694D" w:rsidRPr="00DC1567" w14:paraId="18366E2C" w14:textId="77777777" w:rsidTr="00B92AAB">
        <w:tc>
          <w:tcPr>
            <w:tcW w:w="9753" w:type="dxa"/>
            <w:gridSpan w:val="7"/>
          </w:tcPr>
          <w:p w14:paraId="184FA5FA" w14:textId="77777777" w:rsidR="0008230D" w:rsidRPr="00DC1567" w:rsidRDefault="0008230D" w:rsidP="0000398B">
            <w:p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3.5. Impactul asupra mediului de afaceri</w:t>
            </w:r>
          </w:p>
          <w:p w14:paraId="3FB04812" w14:textId="626EDEDE" w:rsidR="00B5659B" w:rsidRPr="00B5659B" w:rsidRDefault="00B5659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Pr>
                <w:rFonts w:ascii="Times New Roman" w:eastAsiaTheme="majorEastAsia" w:hAnsi="Times New Roman" w:cs="Times New Roman"/>
                <w:noProof w:val="0"/>
                <w:color w:val="000000" w:themeColor="text1"/>
                <w:sz w:val="24"/>
                <w:szCs w:val="24"/>
                <w:lang w:eastAsia="en-US"/>
              </w:rPr>
              <w:t>Proiectul de</w:t>
            </w:r>
            <w:r w:rsidRPr="00B5659B">
              <w:rPr>
                <w:rFonts w:ascii="Times New Roman" w:eastAsiaTheme="majorEastAsia" w:hAnsi="Times New Roman" w:cs="Times New Roman"/>
                <w:noProof w:val="0"/>
                <w:color w:val="000000" w:themeColor="text1"/>
                <w:sz w:val="24"/>
                <w:szCs w:val="24"/>
                <w:lang w:eastAsia="en-US"/>
              </w:rPr>
              <w:t xml:space="preserve"> act normativ are un impact asupra operatorilor economici care desfășoară activități de comercializare en-gros și de furnizare a energiei electrice și a gazelor naturale, prin introducerea unor limite maxime ale adaosului comercial aplicabil.</w:t>
            </w:r>
          </w:p>
          <w:p w14:paraId="1CFA2056" w14:textId="02953406" w:rsidR="00B5659B" w:rsidRPr="00B5659B" w:rsidRDefault="00B5659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B5659B">
              <w:rPr>
                <w:rFonts w:ascii="Times New Roman" w:eastAsiaTheme="majorEastAsia" w:hAnsi="Times New Roman" w:cs="Times New Roman"/>
                <w:noProof w:val="0"/>
                <w:color w:val="000000" w:themeColor="text1"/>
                <w:sz w:val="24"/>
                <w:szCs w:val="24"/>
                <w:lang w:eastAsia="en-US"/>
              </w:rPr>
              <w:t>Măsura determină o ajustare a modelelor comerciale practicate de furnizori și traderi, prin reducerea marjelor excesive identificate în anumite segmente ale lanțului de comercializare, fără a afecta costurile reale de achiziție, tarifele reglementate sau mecanismele concurențiale ale pieței.</w:t>
            </w:r>
          </w:p>
          <w:p w14:paraId="0AB51745" w14:textId="30F97A36" w:rsidR="00B5659B" w:rsidRPr="00B5659B" w:rsidRDefault="00B5659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B5659B">
              <w:rPr>
                <w:rFonts w:ascii="Times New Roman" w:eastAsiaTheme="majorEastAsia" w:hAnsi="Times New Roman" w:cs="Times New Roman"/>
                <w:noProof w:val="0"/>
                <w:color w:val="000000" w:themeColor="text1"/>
                <w:sz w:val="24"/>
                <w:szCs w:val="24"/>
                <w:lang w:eastAsia="en-US"/>
              </w:rPr>
              <w:t>Deși actul normativ poate genera o diminuare a veniturilor obținute din marje comerciale ridicate, acesta nu restrânge desfășurarea activităților economice și nu afectează funcționarea pieței în condiții concurențiale, menținând posibilitatea realizării unui profit rezonabil.</w:t>
            </w:r>
          </w:p>
          <w:p w14:paraId="43546869" w14:textId="604A57D4" w:rsidR="00DE32EC" w:rsidRPr="00DC1567" w:rsidRDefault="00B5659B"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B5659B">
              <w:rPr>
                <w:rFonts w:ascii="Times New Roman" w:eastAsiaTheme="majorEastAsia" w:hAnsi="Times New Roman" w:cs="Times New Roman"/>
                <w:noProof w:val="0"/>
                <w:color w:val="000000" w:themeColor="text1"/>
                <w:sz w:val="24"/>
                <w:szCs w:val="24"/>
                <w:lang w:eastAsia="en-US"/>
              </w:rPr>
              <w:t>Impactul asupra mediului de afaceri este estimat ca fiind moderat și temporar, fiind justificat de necesitatea corectării distorsiunilor de preț și de protejării consumatorilor finali, cu potențiale efecte pozitive pe termen mediu asupra stabilității pieței și încrederii în sectorul energetic.</w:t>
            </w:r>
          </w:p>
        </w:tc>
      </w:tr>
      <w:tr w:rsidR="0094694D" w:rsidRPr="00DC1567" w14:paraId="57C19D65" w14:textId="77777777" w:rsidTr="00B92AAB">
        <w:tc>
          <w:tcPr>
            <w:tcW w:w="9753" w:type="dxa"/>
            <w:gridSpan w:val="7"/>
          </w:tcPr>
          <w:p w14:paraId="2C51FC3D" w14:textId="77777777" w:rsidR="0008230D"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3.6 Impactul asupra mediului înconjurător</w:t>
            </w:r>
          </w:p>
          <w:p w14:paraId="1254BC1F" w14:textId="7BA478E2" w:rsidR="00F00F96" w:rsidRPr="00DC1567" w:rsidRDefault="00BA47BD" w:rsidP="0000398B">
            <w:pPr>
              <w:spacing w:beforeLines="60" w:before="144" w:afterLines="100" w:after="240"/>
              <w:jc w:val="both"/>
              <w:rPr>
                <w:noProof w:val="0"/>
                <w:color w:val="000000" w:themeColor="text1"/>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r w:rsidRPr="00DC1567">
              <w:rPr>
                <w:noProof w:val="0"/>
                <w:color w:val="000000" w:themeColor="text1"/>
              </w:rPr>
              <w:t xml:space="preserve"> </w:t>
            </w:r>
          </w:p>
        </w:tc>
      </w:tr>
      <w:tr w:rsidR="0094694D" w:rsidRPr="00DC1567" w14:paraId="3639676C" w14:textId="77777777" w:rsidTr="00B92AAB">
        <w:tc>
          <w:tcPr>
            <w:tcW w:w="9753" w:type="dxa"/>
            <w:gridSpan w:val="7"/>
          </w:tcPr>
          <w:p w14:paraId="3D697E27" w14:textId="77777777" w:rsidR="0008230D"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3.7 Evaluarea costurilor și beneficiilor din perspectiva inovării și digitalizării</w:t>
            </w:r>
          </w:p>
          <w:p w14:paraId="168CE4FC" w14:textId="7C8D8FE5" w:rsidR="0008230D" w:rsidRPr="00DC1567" w:rsidRDefault="00342BE6"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face referiri la acest subiect.</w:t>
            </w:r>
          </w:p>
        </w:tc>
      </w:tr>
      <w:tr w:rsidR="0094694D" w:rsidRPr="00DC1567" w14:paraId="27D51F91" w14:textId="77777777" w:rsidTr="00B92AAB">
        <w:tc>
          <w:tcPr>
            <w:tcW w:w="9753" w:type="dxa"/>
            <w:gridSpan w:val="7"/>
          </w:tcPr>
          <w:p w14:paraId="38C2DED9" w14:textId="77777777" w:rsidR="0008230D"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shd w:val="clear" w:color="auto" w:fill="FFFFFF" w:themeFill="background1"/>
                <w:lang w:eastAsia="en-US"/>
              </w:rPr>
            </w:pPr>
            <w:r w:rsidRPr="00DC1567">
              <w:rPr>
                <w:rFonts w:ascii="Times New Roman" w:eastAsiaTheme="majorEastAsia" w:hAnsi="Times New Roman" w:cs="Times New Roman"/>
                <w:noProof w:val="0"/>
                <w:color w:val="000000" w:themeColor="text1"/>
                <w:sz w:val="24"/>
                <w:szCs w:val="24"/>
                <w:shd w:val="clear" w:color="auto" w:fill="FFFFFF" w:themeFill="background1"/>
                <w:lang w:eastAsia="en-US"/>
              </w:rPr>
              <w:t>3.8 Evaluarea costurilor și beneficiilor din perspectiva dezvoltării durabile</w:t>
            </w:r>
            <w:r w:rsidR="00342BE6" w:rsidRPr="00DC1567">
              <w:rPr>
                <w:rFonts w:ascii="Times New Roman" w:eastAsiaTheme="majorEastAsia" w:hAnsi="Times New Roman" w:cs="Times New Roman"/>
                <w:noProof w:val="0"/>
                <w:color w:val="000000" w:themeColor="text1"/>
                <w:sz w:val="24"/>
                <w:szCs w:val="24"/>
                <w:shd w:val="clear" w:color="auto" w:fill="FFFFFF" w:themeFill="background1"/>
                <w:lang w:eastAsia="en-US"/>
              </w:rPr>
              <w:t>.</w:t>
            </w:r>
          </w:p>
          <w:p w14:paraId="0EECA726" w14:textId="422D24AE" w:rsidR="00DE32EC" w:rsidRPr="00DC1567" w:rsidRDefault="008023F4" w:rsidP="0000398B">
            <w:pPr>
              <w:spacing w:beforeLines="60" w:before="144" w:afterLines="100" w:after="240"/>
              <w:rPr>
                <w:rFonts w:ascii="Times New Roman" w:eastAsiaTheme="majorEastAsia" w:hAnsi="Times New Roman" w:cs="Times New Roman"/>
                <w:i/>
                <w:i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face referiri la acest subiect.</w:t>
            </w:r>
          </w:p>
        </w:tc>
      </w:tr>
      <w:tr w:rsidR="0094694D" w:rsidRPr="00DC1567" w14:paraId="7E36B65E" w14:textId="77777777" w:rsidTr="00B92AAB">
        <w:tc>
          <w:tcPr>
            <w:tcW w:w="9753" w:type="dxa"/>
            <w:gridSpan w:val="7"/>
          </w:tcPr>
          <w:p w14:paraId="45603527" w14:textId="77777777" w:rsidR="0008230D" w:rsidRPr="00DC1567" w:rsidRDefault="0008230D" w:rsidP="0000398B">
            <w:p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3.9 Alte informații</w:t>
            </w:r>
          </w:p>
          <w:p w14:paraId="56F7DF19" w14:textId="387527D1" w:rsidR="00DE32EC" w:rsidRPr="00DC1567" w:rsidRDefault="00ED7B10" w:rsidP="0000398B">
            <w:p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face referiri la acest subiect.</w:t>
            </w:r>
          </w:p>
        </w:tc>
      </w:tr>
      <w:tr w:rsidR="0094694D" w:rsidRPr="00DC1567" w14:paraId="16D01EA9" w14:textId="77777777" w:rsidTr="00B92AAB">
        <w:tc>
          <w:tcPr>
            <w:tcW w:w="9753" w:type="dxa"/>
            <w:gridSpan w:val="7"/>
          </w:tcPr>
          <w:p w14:paraId="4FB9E242" w14:textId="77777777"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Secțiunea a 4-a</w:t>
            </w:r>
          </w:p>
          <w:p w14:paraId="3FFE38A6" w14:textId="4F87EBD5" w:rsidR="0008230D" w:rsidRPr="00DC1567" w:rsidRDefault="0008230D" w:rsidP="0000398B">
            <w:pPr>
              <w:spacing w:beforeLines="60" w:before="144" w:afterLines="100" w:after="240"/>
              <w:jc w:val="center"/>
              <w:rPr>
                <w:rFonts w:ascii="Times New Roman" w:hAnsi="Times New Roman" w:cs="Times New Roman"/>
                <w:b/>
                <w:bCs/>
                <w:noProof w:val="0"/>
                <w:color w:val="000000" w:themeColor="text1"/>
                <w:sz w:val="24"/>
                <w:szCs w:val="24"/>
              </w:rPr>
            </w:pPr>
            <w:r w:rsidRPr="00DC1567">
              <w:rPr>
                <w:rFonts w:ascii="Times New Roman" w:hAnsi="Times New Roman" w:cs="Times New Roman"/>
                <w:b/>
                <w:bCs/>
                <w:noProof w:val="0"/>
                <w:color w:val="000000" w:themeColor="text1"/>
                <w:sz w:val="24"/>
                <w:szCs w:val="24"/>
              </w:rPr>
              <w:t>Impactul financiar asupra bugetului general consolidat atât pe termen scurt, pentru anul curent, cât şi pe termen lung (pe 5 ani), inclusiv informații cu privire la cheltuieli și venituri.***)</w:t>
            </w:r>
          </w:p>
        </w:tc>
      </w:tr>
      <w:tr w:rsidR="0094694D" w:rsidRPr="00DC1567" w14:paraId="568981E3" w14:textId="77777777" w:rsidTr="00B92AAB">
        <w:tc>
          <w:tcPr>
            <w:tcW w:w="9753" w:type="dxa"/>
            <w:gridSpan w:val="7"/>
          </w:tcPr>
          <w:p w14:paraId="628D01C3" w14:textId="4536F344" w:rsidR="0008230D" w:rsidRPr="00DC1567" w:rsidRDefault="0008230D" w:rsidP="0000398B">
            <w:pPr>
              <w:tabs>
                <w:tab w:val="left" w:pos="567"/>
              </w:tabs>
              <w:spacing w:beforeLines="60" w:before="144" w:afterLines="100" w:after="240"/>
              <w:jc w:val="right"/>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în mii lei (RON) -</w:t>
            </w:r>
          </w:p>
        </w:tc>
      </w:tr>
      <w:tr w:rsidR="0094694D" w:rsidRPr="00DC1567" w14:paraId="3BF67B45" w14:textId="77777777" w:rsidTr="00597846">
        <w:tc>
          <w:tcPr>
            <w:tcW w:w="1966" w:type="dxa"/>
          </w:tcPr>
          <w:p w14:paraId="350CAA44" w14:textId="68C7031D"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Indicatori</w:t>
            </w:r>
          </w:p>
        </w:tc>
        <w:tc>
          <w:tcPr>
            <w:tcW w:w="883" w:type="dxa"/>
          </w:tcPr>
          <w:p w14:paraId="41ECC7E6" w14:textId="198A8FE7"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Anul curent</w:t>
            </w:r>
          </w:p>
        </w:tc>
        <w:tc>
          <w:tcPr>
            <w:tcW w:w="5263" w:type="dxa"/>
            <w:gridSpan w:val="4"/>
          </w:tcPr>
          <w:p w14:paraId="33BD8A30" w14:textId="1F638960"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Următorii patru ani</w:t>
            </w:r>
          </w:p>
        </w:tc>
        <w:tc>
          <w:tcPr>
            <w:tcW w:w="1641" w:type="dxa"/>
          </w:tcPr>
          <w:p w14:paraId="24D935ED" w14:textId="6D32AF71"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Media pe cinci ani</w:t>
            </w:r>
          </w:p>
        </w:tc>
      </w:tr>
      <w:tr w:rsidR="0094694D" w:rsidRPr="00DC1567" w14:paraId="4C14B5D8" w14:textId="77777777" w:rsidTr="00597846">
        <w:tc>
          <w:tcPr>
            <w:tcW w:w="1966" w:type="dxa"/>
          </w:tcPr>
          <w:p w14:paraId="672355BA" w14:textId="69FB1F7D"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1</w:t>
            </w:r>
          </w:p>
        </w:tc>
        <w:tc>
          <w:tcPr>
            <w:tcW w:w="883" w:type="dxa"/>
          </w:tcPr>
          <w:p w14:paraId="519CBB3A" w14:textId="34723D53"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2</w:t>
            </w:r>
          </w:p>
        </w:tc>
        <w:tc>
          <w:tcPr>
            <w:tcW w:w="412" w:type="dxa"/>
          </w:tcPr>
          <w:p w14:paraId="0678A3A0" w14:textId="1FDDE92E"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w:t>
            </w:r>
          </w:p>
        </w:tc>
        <w:tc>
          <w:tcPr>
            <w:tcW w:w="1617" w:type="dxa"/>
          </w:tcPr>
          <w:p w14:paraId="5D29E247" w14:textId="1F474C53"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w:t>
            </w:r>
          </w:p>
        </w:tc>
        <w:tc>
          <w:tcPr>
            <w:tcW w:w="1617" w:type="dxa"/>
          </w:tcPr>
          <w:p w14:paraId="2ADA9DA1" w14:textId="0D47D1FD"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5</w:t>
            </w:r>
          </w:p>
        </w:tc>
        <w:tc>
          <w:tcPr>
            <w:tcW w:w="1617" w:type="dxa"/>
          </w:tcPr>
          <w:p w14:paraId="04C7872D" w14:textId="174F957A"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6</w:t>
            </w:r>
          </w:p>
        </w:tc>
        <w:tc>
          <w:tcPr>
            <w:tcW w:w="1641" w:type="dxa"/>
          </w:tcPr>
          <w:p w14:paraId="37F1A35B" w14:textId="010914AA"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7</w:t>
            </w:r>
          </w:p>
        </w:tc>
      </w:tr>
      <w:tr w:rsidR="0094694D" w:rsidRPr="00DC1567" w14:paraId="6372945D" w14:textId="77777777" w:rsidTr="00597846">
        <w:tc>
          <w:tcPr>
            <w:tcW w:w="1966" w:type="dxa"/>
          </w:tcPr>
          <w:p w14:paraId="6A8763A5" w14:textId="39E32AAC"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4.1 Modificări ale veniturilor bugetare, plus/minus, din care:</w:t>
            </w:r>
          </w:p>
        </w:tc>
        <w:tc>
          <w:tcPr>
            <w:tcW w:w="883" w:type="dxa"/>
          </w:tcPr>
          <w:p w14:paraId="6706B14B" w14:textId="60E3C1A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6D05F080" w14:textId="2DBCD494"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17E83CEA" w14:textId="4033FE6B"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43758B63" w14:textId="1223692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06CC69DC" w14:textId="7386B23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44A75B9E" w14:textId="514DA96C"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2A9CFDB9" w14:textId="77777777" w:rsidTr="00597846">
        <w:tc>
          <w:tcPr>
            <w:tcW w:w="1966" w:type="dxa"/>
          </w:tcPr>
          <w:p w14:paraId="1A672452"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 buget de stat, din acesta:</w:t>
            </w:r>
          </w:p>
          <w:p w14:paraId="0A143D38" w14:textId="36E1AFD9"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i. impozit pe profit</w:t>
            </w:r>
          </w:p>
          <w:p w14:paraId="7C14EC3C" w14:textId="32FA484E" w:rsidR="008E56F7" w:rsidRPr="00DC1567" w:rsidRDefault="008E56F7" w:rsidP="0000398B">
            <w:pPr>
              <w:tabs>
                <w:tab w:val="left" w:pos="567"/>
              </w:tabs>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ii. impozit pe venit</w:t>
            </w:r>
          </w:p>
        </w:tc>
        <w:tc>
          <w:tcPr>
            <w:tcW w:w="883" w:type="dxa"/>
          </w:tcPr>
          <w:p w14:paraId="49B7AE29" w14:textId="1C8A24CD"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769BD9D9" w14:textId="41031156"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4015CCE" w14:textId="25B421B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3523828" w14:textId="0E6B6FDC"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26A1382F" w14:textId="1170FEF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075A3481" w14:textId="3D7875D8"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421FB217" w14:textId="77777777" w:rsidTr="00597846">
        <w:tc>
          <w:tcPr>
            <w:tcW w:w="1966" w:type="dxa"/>
          </w:tcPr>
          <w:p w14:paraId="1F6DF8F6"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 bugete locale</w:t>
            </w:r>
          </w:p>
          <w:p w14:paraId="4342EE02" w14:textId="5081CBEE"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i. impozit pe profit</w:t>
            </w:r>
          </w:p>
        </w:tc>
        <w:tc>
          <w:tcPr>
            <w:tcW w:w="883" w:type="dxa"/>
          </w:tcPr>
          <w:p w14:paraId="79B193B9" w14:textId="7AB29839"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7799554C" w14:textId="25C072C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06A329A" w14:textId="0A7F4BD2"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152430AA" w14:textId="4AAF158D"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2C7D079C" w14:textId="36F32386"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338CF855" w14:textId="20AA39C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175D7E52" w14:textId="77777777" w:rsidTr="00597846">
        <w:tc>
          <w:tcPr>
            <w:tcW w:w="1966" w:type="dxa"/>
          </w:tcPr>
          <w:p w14:paraId="299AB404"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c) bugetul asigurărilor sociale de stat:</w:t>
            </w:r>
          </w:p>
          <w:p w14:paraId="0D190F61" w14:textId="5A9A22EC"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i. contribuții de asigurări</w:t>
            </w:r>
          </w:p>
        </w:tc>
        <w:tc>
          <w:tcPr>
            <w:tcW w:w="883" w:type="dxa"/>
          </w:tcPr>
          <w:p w14:paraId="156FA77A" w14:textId="3086B50D"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3602DE28" w14:textId="63013960"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27116A5E" w14:textId="508C69F1"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622A56B6" w14:textId="39DA98C4"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77789F60" w14:textId="28A6AFE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7A5B306B" w14:textId="1A433DE5"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5564C90E" w14:textId="77777777" w:rsidTr="00597846">
        <w:tc>
          <w:tcPr>
            <w:tcW w:w="1966" w:type="dxa"/>
          </w:tcPr>
          <w:p w14:paraId="009EEACB"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d) alte tipuri de venituri </w:t>
            </w:r>
          </w:p>
          <w:p w14:paraId="0B1483DC" w14:textId="018542FD"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w:t>
            </w:r>
            <w:r w:rsidR="00530F0E" w:rsidRPr="00DC1567">
              <w:rPr>
                <w:rFonts w:ascii="Times New Roman" w:eastAsiaTheme="majorEastAsia" w:hAnsi="Times New Roman" w:cs="Times New Roman"/>
                <w:noProof w:val="0"/>
                <w:color w:val="000000" w:themeColor="text1"/>
                <w:sz w:val="24"/>
                <w:szCs w:val="24"/>
                <w:lang w:eastAsia="en-US"/>
              </w:rPr>
              <w:t>din tranzacționarea garanțiilor de origine menționate la art. 19 din proiectul de act normativ</w:t>
            </w:r>
            <w:r w:rsidRPr="00DC1567">
              <w:rPr>
                <w:rFonts w:ascii="Times New Roman" w:eastAsiaTheme="majorEastAsia" w:hAnsi="Times New Roman" w:cs="Times New Roman"/>
                <w:noProof w:val="0"/>
                <w:color w:val="000000" w:themeColor="text1"/>
                <w:sz w:val="24"/>
                <w:szCs w:val="24"/>
                <w:lang w:eastAsia="en-US"/>
              </w:rPr>
              <w:t>)</w:t>
            </w:r>
          </w:p>
        </w:tc>
        <w:tc>
          <w:tcPr>
            <w:tcW w:w="883" w:type="dxa"/>
          </w:tcPr>
          <w:p w14:paraId="2D133510" w14:textId="3662580E" w:rsidR="008E56F7" w:rsidRPr="00DC1567" w:rsidRDefault="005930BD"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118581BC" w14:textId="1A38801F" w:rsidR="008E56F7" w:rsidRPr="00DC1567" w:rsidRDefault="005930BD"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49CEBA26" w14:textId="6543776F" w:rsidR="008E56F7" w:rsidRPr="00DC1567" w:rsidRDefault="008023F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1AC82E21" w14:textId="73238877" w:rsidR="008E56F7" w:rsidRPr="00DC1567" w:rsidRDefault="008023F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4E76BBF" w14:textId="20BB99D7" w:rsidR="008E56F7" w:rsidRPr="00DC1567" w:rsidRDefault="008023F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0C0C7803" w14:textId="7F43498C" w:rsidR="008E56F7" w:rsidRPr="00DC1567" w:rsidRDefault="008023F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614518D1" w14:textId="77777777" w:rsidTr="00597846">
        <w:tc>
          <w:tcPr>
            <w:tcW w:w="1966" w:type="dxa"/>
          </w:tcPr>
          <w:p w14:paraId="4462475A" w14:textId="35426D18"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4.2 Modificări ale cheltuielilor bugetare, plus/minus, din care:</w:t>
            </w:r>
          </w:p>
        </w:tc>
        <w:tc>
          <w:tcPr>
            <w:tcW w:w="883" w:type="dxa"/>
          </w:tcPr>
          <w:p w14:paraId="09581ED7" w14:textId="3583D4C9"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0A021F58" w14:textId="3CBE2B06"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0E792207" w14:textId="7E1C87F7"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81B1CB7" w14:textId="6D1A323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14A3DB1A" w14:textId="4056321A"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1450226B" w14:textId="71A207E7"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3A2D8A08" w14:textId="77777777" w:rsidTr="00597846">
        <w:tc>
          <w:tcPr>
            <w:tcW w:w="1966" w:type="dxa"/>
          </w:tcPr>
          <w:p w14:paraId="193D5699"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 buget de stat, din acesta:</w:t>
            </w:r>
          </w:p>
          <w:p w14:paraId="612FF83B" w14:textId="77777777" w:rsidR="008E56F7" w:rsidRPr="00DC1567" w:rsidRDefault="008E56F7" w:rsidP="0000398B">
            <w:pPr>
              <w:numPr>
                <w:ilvl w:val="0"/>
                <w:numId w:val="5"/>
              </w:num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cheltuieli de personal</w:t>
            </w:r>
          </w:p>
          <w:p w14:paraId="66164D4D" w14:textId="0852E8AC"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bunuri și servicii</w:t>
            </w:r>
          </w:p>
        </w:tc>
        <w:tc>
          <w:tcPr>
            <w:tcW w:w="883" w:type="dxa"/>
          </w:tcPr>
          <w:p w14:paraId="00A07325" w14:textId="1D86F06C"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1B20A84C" w14:textId="2B1416D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4EE52C1F" w14:textId="2798FF33"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48DA8A29" w14:textId="0159CD00"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266E02B2" w14:textId="45CCEB62"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570D7425" w14:textId="2169C472"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33A44C09" w14:textId="77777777" w:rsidTr="00597846">
        <w:tc>
          <w:tcPr>
            <w:tcW w:w="1966" w:type="dxa"/>
          </w:tcPr>
          <w:p w14:paraId="06F389EB"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 bugete locale:</w:t>
            </w:r>
          </w:p>
          <w:p w14:paraId="47FEAD00" w14:textId="77777777" w:rsidR="008E56F7" w:rsidRPr="00DC1567" w:rsidRDefault="008E56F7" w:rsidP="0000398B">
            <w:pPr>
              <w:numPr>
                <w:ilvl w:val="0"/>
                <w:numId w:val="21"/>
              </w:num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cheltuieli de personal</w:t>
            </w:r>
          </w:p>
          <w:p w14:paraId="2DBDB0B6" w14:textId="3262CAA3" w:rsidR="008E56F7" w:rsidRPr="00DC1567" w:rsidRDefault="008E56F7" w:rsidP="0000398B">
            <w:pPr>
              <w:numPr>
                <w:ilvl w:val="0"/>
                <w:numId w:val="21"/>
              </w:num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bunuri și servicii</w:t>
            </w:r>
          </w:p>
        </w:tc>
        <w:tc>
          <w:tcPr>
            <w:tcW w:w="883" w:type="dxa"/>
          </w:tcPr>
          <w:p w14:paraId="613100BE"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p>
        </w:tc>
        <w:tc>
          <w:tcPr>
            <w:tcW w:w="412" w:type="dxa"/>
          </w:tcPr>
          <w:p w14:paraId="5B6C0943" w14:textId="1D679D8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AAC4055" w14:textId="338313BB"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1D2CD36C" w14:textId="102F4AEB"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2FF675EE" w14:textId="616EE392"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4567A150" w14:textId="16BE665D"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4116B9EC" w14:textId="77777777" w:rsidTr="00597846">
        <w:tc>
          <w:tcPr>
            <w:tcW w:w="1966" w:type="dxa"/>
          </w:tcPr>
          <w:p w14:paraId="204DE042"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c) bugetul asigurărilor sociale de stat:</w:t>
            </w:r>
          </w:p>
          <w:p w14:paraId="66A116EC" w14:textId="77777777" w:rsidR="008E56F7" w:rsidRPr="00DC1567" w:rsidRDefault="008E56F7" w:rsidP="0000398B">
            <w:pPr>
              <w:numPr>
                <w:ilvl w:val="0"/>
                <w:numId w:val="20"/>
              </w:num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cheltuieli de personal</w:t>
            </w:r>
          </w:p>
          <w:p w14:paraId="28F4F81E" w14:textId="4CF9387F"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bunuri și servicii</w:t>
            </w:r>
          </w:p>
        </w:tc>
        <w:tc>
          <w:tcPr>
            <w:tcW w:w="883" w:type="dxa"/>
          </w:tcPr>
          <w:p w14:paraId="58DF4C9F" w14:textId="5CC22B0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79B35949" w14:textId="13C23B3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707543C5" w14:textId="4698BC5C"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DB5DF51" w14:textId="1F7615C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098B52AC" w14:textId="761D3120"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174EB231" w14:textId="69EBD104"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633EAA8E" w14:textId="77777777" w:rsidTr="00597846">
        <w:tc>
          <w:tcPr>
            <w:tcW w:w="1966" w:type="dxa"/>
          </w:tcPr>
          <w:p w14:paraId="6E611F77" w14:textId="77777777" w:rsidR="00611BBF" w:rsidRPr="00DC1567" w:rsidRDefault="00611BBF"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d) alte tipuri de cheltuieli</w:t>
            </w:r>
          </w:p>
          <w:p w14:paraId="69DD869B" w14:textId="1F0119A2"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(se va menționa natura acestora)</w:t>
            </w:r>
          </w:p>
        </w:tc>
        <w:tc>
          <w:tcPr>
            <w:tcW w:w="883" w:type="dxa"/>
          </w:tcPr>
          <w:p w14:paraId="7281E630" w14:textId="1FFAD7C3"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537DEA52" w14:textId="7C02D56A"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20932F39" w14:textId="6C7EDD93"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4987529B" w14:textId="4426CC3D"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7C68B645" w14:textId="58F297B4"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0C84F1D8" w14:textId="6572386E"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0B3DF5C2" w14:textId="77777777" w:rsidTr="00597846">
        <w:tc>
          <w:tcPr>
            <w:tcW w:w="1966" w:type="dxa"/>
          </w:tcPr>
          <w:p w14:paraId="5F264ACC" w14:textId="15255BC8" w:rsidR="00611BBF" w:rsidRPr="00DC1567" w:rsidRDefault="00611BBF"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4.3 Impact financiar, plus/minus, din care:</w:t>
            </w:r>
          </w:p>
          <w:p w14:paraId="1D30487B" w14:textId="5B106A58"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w:t>
            </w:r>
            <w:r w:rsidRPr="00DC1567">
              <w:rPr>
                <w:rFonts w:ascii="Times New Roman" w:eastAsiaTheme="majorEastAsia" w:hAnsi="Times New Roman" w:cs="Times New Roman"/>
                <w:noProof w:val="0"/>
                <w:color w:val="000000" w:themeColor="text1"/>
                <w:sz w:val="24"/>
                <w:szCs w:val="24"/>
                <w:vertAlign w:val="superscript"/>
                <w:lang w:eastAsia="en-US"/>
              </w:rPr>
              <w:t xml:space="preserve"> </w:t>
            </w:r>
            <w:r w:rsidRPr="00DC1567">
              <w:rPr>
                <w:rFonts w:ascii="Times New Roman" w:eastAsiaTheme="majorEastAsia" w:hAnsi="Times New Roman" w:cs="Times New Roman"/>
                <w:noProof w:val="0"/>
                <w:color w:val="000000" w:themeColor="text1"/>
                <w:sz w:val="24"/>
                <w:szCs w:val="24"/>
                <w:lang w:eastAsia="en-US"/>
              </w:rPr>
              <w:t>buget de stat</w:t>
            </w:r>
          </w:p>
        </w:tc>
        <w:tc>
          <w:tcPr>
            <w:tcW w:w="883" w:type="dxa"/>
          </w:tcPr>
          <w:p w14:paraId="6059692E" w14:textId="75340A3C"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0FF568C6" w14:textId="3204C4E8"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4C12CCD" w14:textId="5A074D88"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11E08925" w14:textId="216BEB18"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6124E306" w14:textId="6DB2B0A0"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12881FF0" w14:textId="553ECE03"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46D1DAE7" w14:textId="77777777" w:rsidTr="00597846">
        <w:tc>
          <w:tcPr>
            <w:tcW w:w="1966" w:type="dxa"/>
          </w:tcPr>
          <w:p w14:paraId="08668739" w14:textId="77777777" w:rsidR="00611BBF" w:rsidRPr="00DC1567" w:rsidRDefault="00611BBF"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4.3 Impact financiar, plus/minus, din care:</w:t>
            </w:r>
          </w:p>
          <w:p w14:paraId="2AB78F84" w14:textId="605E4762"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w:t>
            </w:r>
            <w:r w:rsidRPr="00DC1567">
              <w:rPr>
                <w:rFonts w:ascii="Times New Roman" w:eastAsiaTheme="majorEastAsia" w:hAnsi="Times New Roman" w:cs="Times New Roman"/>
                <w:noProof w:val="0"/>
                <w:color w:val="000000" w:themeColor="text1"/>
                <w:sz w:val="24"/>
                <w:szCs w:val="24"/>
                <w:vertAlign w:val="superscript"/>
                <w:lang w:eastAsia="en-US"/>
              </w:rPr>
              <w:t xml:space="preserve"> </w:t>
            </w:r>
            <w:r w:rsidRPr="00DC1567">
              <w:rPr>
                <w:rFonts w:ascii="Times New Roman" w:eastAsiaTheme="majorEastAsia" w:hAnsi="Times New Roman" w:cs="Times New Roman"/>
                <w:noProof w:val="0"/>
                <w:color w:val="000000" w:themeColor="text1"/>
                <w:sz w:val="24"/>
                <w:szCs w:val="24"/>
                <w:lang w:eastAsia="en-US"/>
              </w:rPr>
              <w:t>buget de stat</w:t>
            </w:r>
          </w:p>
        </w:tc>
        <w:tc>
          <w:tcPr>
            <w:tcW w:w="883" w:type="dxa"/>
          </w:tcPr>
          <w:p w14:paraId="5F099132" w14:textId="68799B0D"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615A2366" w14:textId="2233A319"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A0CEE46" w14:textId="6536416E"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3D1DD4B0" w14:textId="203B63AF"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0D141EA2" w14:textId="7B2EDAF7"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46F52D26" w14:textId="2E4718B3"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3625E08A" w14:textId="77777777" w:rsidTr="00597846">
        <w:trPr>
          <w:trHeight w:val="411"/>
        </w:trPr>
        <w:tc>
          <w:tcPr>
            <w:tcW w:w="1966" w:type="dxa"/>
          </w:tcPr>
          <w:p w14:paraId="66A2DE19" w14:textId="430BC637"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 bugete locale</w:t>
            </w:r>
          </w:p>
        </w:tc>
        <w:tc>
          <w:tcPr>
            <w:tcW w:w="883" w:type="dxa"/>
          </w:tcPr>
          <w:p w14:paraId="112F4957" w14:textId="1C3E3A49"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02A9F42C" w14:textId="155478A3"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4D08F6F4" w14:textId="6D790FCB"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6BF6C69B" w14:textId="2462075F"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E1D436E" w14:textId="4F9324D9"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36C81DA4" w14:textId="0CE274AE"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p>
        </w:tc>
      </w:tr>
      <w:tr w:rsidR="0094694D" w:rsidRPr="00DC1567" w14:paraId="6894287B" w14:textId="77777777" w:rsidTr="00597846">
        <w:tc>
          <w:tcPr>
            <w:tcW w:w="1966" w:type="dxa"/>
          </w:tcPr>
          <w:p w14:paraId="5ABE0F13" w14:textId="1E79D9DF"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4.4 Propuneri pentru acoperirea creșterii cheltuielilor bugetare</w:t>
            </w:r>
          </w:p>
        </w:tc>
        <w:tc>
          <w:tcPr>
            <w:tcW w:w="883" w:type="dxa"/>
          </w:tcPr>
          <w:p w14:paraId="48553CBF" w14:textId="1A4EBFF7"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52D27801" w14:textId="64A4D2B0"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6F52AFE1" w14:textId="585FE218"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2322BB2" w14:textId="3969A169"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090833FF" w14:textId="5AF9810E"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09143DD1" w14:textId="301B9C47"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33AADB98" w14:textId="77777777" w:rsidTr="00597846">
        <w:tc>
          <w:tcPr>
            <w:tcW w:w="1966" w:type="dxa"/>
          </w:tcPr>
          <w:p w14:paraId="6C607917" w14:textId="11DAFED7"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4.5 Propuneri pentru a compensa reducerea veniturilor bugetare</w:t>
            </w:r>
          </w:p>
        </w:tc>
        <w:tc>
          <w:tcPr>
            <w:tcW w:w="883" w:type="dxa"/>
          </w:tcPr>
          <w:p w14:paraId="4C126430" w14:textId="5A27181B"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0D1B1914" w14:textId="5EC060F5"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639DD5C0" w14:textId="71719C97"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391E1D83" w14:textId="12DCBDCA"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789A5096" w14:textId="30D8E954"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728D5961" w14:textId="073FA7F8"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6A615DFE" w14:textId="77777777" w:rsidTr="00597846">
        <w:tc>
          <w:tcPr>
            <w:tcW w:w="1966" w:type="dxa"/>
          </w:tcPr>
          <w:p w14:paraId="459196A5" w14:textId="4C6356B3"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4.6 Calcule detaliate privind fundamentarea modificărilor veniturilor și/sau cheltuielilor bugetare</w:t>
            </w:r>
          </w:p>
        </w:tc>
        <w:tc>
          <w:tcPr>
            <w:tcW w:w="883" w:type="dxa"/>
          </w:tcPr>
          <w:p w14:paraId="7D4D081C" w14:textId="28D4B88C"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34883644" w14:textId="03B8AC8D"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68969968" w14:textId="2E913FF2"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7488084A" w14:textId="154F00C2"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0F3D2804" w14:textId="0C7BFCEE"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5A14C89F" w14:textId="0BA2FFE5"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4C58A699" w14:textId="77777777" w:rsidTr="00B92AAB">
        <w:tc>
          <w:tcPr>
            <w:tcW w:w="9753" w:type="dxa"/>
            <w:gridSpan w:val="7"/>
          </w:tcPr>
          <w:p w14:paraId="1A90DB84" w14:textId="77777777" w:rsidR="008E56F7" w:rsidRPr="00DC1567" w:rsidRDefault="008E56F7" w:rsidP="0000398B">
            <w:pPr>
              <w:autoSpaceDE w:val="0"/>
              <w:autoSpaceDN w:val="0"/>
              <w:adjustRightInd w:val="0"/>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eastAsiaTheme="majorEastAsia" w:hAnsi="Times New Roman" w:cs="Times New Roman"/>
                <w:noProof w:val="0"/>
                <w:color w:val="000000" w:themeColor="text1"/>
                <w:sz w:val="24"/>
                <w:szCs w:val="24"/>
                <w:lang w:eastAsia="en-US"/>
              </w:rPr>
              <w:t xml:space="preserve">4.7 Prezentarea, </w:t>
            </w:r>
            <w:r w:rsidRPr="00DC1567">
              <w:rPr>
                <w:rFonts w:ascii="Times New Roman" w:hAnsi="Times New Roman" w:cs="Times New Roman"/>
                <w:noProof w:val="0"/>
                <w:color w:val="000000" w:themeColor="text1"/>
                <w:sz w:val="24"/>
                <w:szCs w:val="24"/>
              </w:rPr>
              <w:t>în cazul proiectelor de acte normative a căror adoptare atrage majorarea cheltuielilor bugetare, a următoarelor documente:</w:t>
            </w:r>
          </w:p>
          <w:p w14:paraId="68801E41" w14:textId="22E2358B" w:rsidR="008E56F7" w:rsidRPr="00DC1567" w:rsidRDefault="008E56F7" w:rsidP="0000398B">
            <w:pPr>
              <w:autoSpaceDE w:val="0"/>
              <w:autoSpaceDN w:val="0"/>
              <w:adjustRightInd w:val="0"/>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hAnsi="Times New Roman" w:cs="Times New Roman"/>
                <w:noProof w:val="0"/>
                <w:color w:val="000000" w:themeColor="text1"/>
                <w:sz w:val="24"/>
                <w:szCs w:val="24"/>
              </w:rPr>
              <w:t>a) fișa financiară prevăzută la art.15 din Legea nr. 500/2002 privind finanțele publice, cu modificările şi completările ulterioare, însoțită de ipotezele și metodologia de calcul utilizată;</w:t>
            </w:r>
          </w:p>
          <w:p w14:paraId="091C4404" w14:textId="00DED9FC" w:rsidR="00DE32EC" w:rsidRPr="00DC1567" w:rsidRDefault="008E56F7" w:rsidP="0000398B">
            <w:pPr>
              <w:tabs>
                <w:tab w:val="left" w:pos="567"/>
              </w:tabs>
              <w:spacing w:beforeLines="60" w:before="144" w:afterLines="100" w:after="240"/>
              <w:rPr>
                <w:rFonts w:ascii="Times New Roman" w:hAnsi="Times New Roman" w:cs="Times New Roman"/>
                <w:noProof w:val="0"/>
                <w:color w:val="000000" w:themeColor="text1"/>
                <w:sz w:val="24"/>
                <w:szCs w:val="24"/>
              </w:rPr>
            </w:pPr>
            <w:r w:rsidRPr="00DC1567">
              <w:rPr>
                <w:rFonts w:ascii="Times New Roman" w:hAnsi="Times New Roman" w:cs="Times New Roman"/>
                <w:noProof w:val="0"/>
                <w:color w:val="000000" w:themeColor="text1"/>
                <w:sz w:val="24"/>
                <w:szCs w:val="24"/>
              </w:rPr>
              <w:t>b) declarație conform căreia majorarea de cheltuială respectivă este compatibilă cu obiectivele şi prioritățile strategice specificate în strategia fiscal-bugetară, cu legea bugetară anuală şi cu plafoanele de cheltuieli prezentate în strategia fiscal-bugetară.</w:t>
            </w:r>
          </w:p>
          <w:p w14:paraId="6336E76A" w14:textId="1C6A00A2" w:rsidR="00DE32EC" w:rsidRPr="00DC1567" w:rsidRDefault="00237E59"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face referiri la acest subiect.</w:t>
            </w:r>
          </w:p>
        </w:tc>
      </w:tr>
      <w:tr w:rsidR="0094694D" w:rsidRPr="00DC1567" w14:paraId="1005E664" w14:textId="77777777" w:rsidTr="00B92AAB">
        <w:tc>
          <w:tcPr>
            <w:tcW w:w="9753" w:type="dxa"/>
            <w:gridSpan w:val="7"/>
          </w:tcPr>
          <w:p w14:paraId="44D80EA9"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4.8 Alte informații</w:t>
            </w:r>
          </w:p>
          <w:p w14:paraId="04A383DA" w14:textId="3458DC59" w:rsidR="00DE32EC" w:rsidRPr="00DC1567" w:rsidRDefault="00BA47BD" w:rsidP="0000398B">
            <w:pPr>
              <w:tabs>
                <w:tab w:val="left" w:pos="567"/>
              </w:tabs>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3A2D7E99" w14:textId="77777777" w:rsidTr="00B92AAB">
        <w:tc>
          <w:tcPr>
            <w:tcW w:w="9753" w:type="dxa"/>
            <w:gridSpan w:val="7"/>
          </w:tcPr>
          <w:p w14:paraId="1755D466" w14:textId="3EFB3E94" w:rsidR="008E56F7" w:rsidRPr="00DC1567" w:rsidRDefault="008E56F7" w:rsidP="0000398B">
            <w:pPr>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Secțiunea a 5-a:</w:t>
            </w:r>
          </w:p>
          <w:p w14:paraId="181A0B3A" w14:textId="0429D0B4" w:rsidR="008E56F7" w:rsidRPr="00DC1567" w:rsidRDefault="008E56F7" w:rsidP="0000398B">
            <w:pPr>
              <w:tabs>
                <w:tab w:val="left" w:pos="567"/>
              </w:tabs>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Efectele proiectului de act normativ asupra legislației în vigoare</w:t>
            </w:r>
          </w:p>
        </w:tc>
      </w:tr>
      <w:tr w:rsidR="0094694D" w:rsidRPr="00DC1567" w14:paraId="31D6A6AF" w14:textId="77777777" w:rsidTr="00B92AAB">
        <w:tc>
          <w:tcPr>
            <w:tcW w:w="9753" w:type="dxa"/>
            <w:gridSpan w:val="7"/>
          </w:tcPr>
          <w:p w14:paraId="6A03F85A" w14:textId="77777777"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5.1 Măsuri normative necesare pentru aplicarea prevederilor proiectului de act normativ</w:t>
            </w:r>
          </w:p>
          <w:p w14:paraId="08B56454" w14:textId="47EC21B0" w:rsidR="00DE32EC" w:rsidRPr="00DC1567" w:rsidRDefault="00BA47BD" w:rsidP="0000398B">
            <w:pPr>
              <w:spacing w:beforeLines="60" w:before="144" w:afterLines="100" w:after="240"/>
              <w:jc w:val="both"/>
              <w:rPr>
                <w:rFonts w:ascii="Times New Roman" w:eastAsia="Times New Roman"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19BB1916" w14:textId="77777777" w:rsidTr="00B92AAB">
        <w:tc>
          <w:tcPr>
            <w:tcW w:w="9753" w:type="dxa"/>
            <w:gridSpan w:val="7"/>
          </w:tcPr>
          <w:p w14:paraId="07A75369" w14:textId="77777777" w:rsidR="00611BBF" w:rsidRPr="00DC1567" w:rsidRDefault="00611BBF" w:rsidP="0000398B">
            <w:pPr>
              <w:spacing w:beforeLines="60" w:before="144" w:afterLines="100" w:after="240"/>
              <w:jc w:val="both"/>
              <w:rPr>
                <w:rFonts w:ascii="Times New Roman" w:eastAsiaTheme="majorEastAsia" w:hAnsi="Times New Roman" w:cs="Times New Roman"/>
                <w:iCs/>
                <w:noProof w:val="0"/>
                <w:color w:val="000000" w:themeColor="text1"/>
                <w:sz w:val="24"/>
                <w:szCs w:val="24"/>
                <w:lang w:eastAsia="en-US"/>
              </w:rPr>
            </w:pPr>
            <w:r w:rsidRPr="00DC1567">
              <w:rPr>
                <w:rFonts w:ascii="Times New Roman" w:eastAsiaTheme="majorEastAsia" w:hAnsi="Times New Roman" w:cs="Times New Roman"/>
                <w:iCs/>
                <w:noProof w:val="0"/>
                <w:color w:val="000000" w:themeColor="text1"/>
                <w:sz w:val="24"/>
                <w:szCs w:val="24"/>
                <w:lang w:eastAsia="en-US"/>
              </w:rPr>
              <w:t>5.2 Impactul asupra legislației in domeniul achizițiilor publice</w:t>
            </w:r>
          </w:p>
          <w:p w14:paraId="38651A9F" w14:textId="58313860" w:rsidR="008B171D" w:rsidRPr="00DC1567" w:rsidRDefault="00534B57"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2C83E7F8" w14:textId="77777777" w:rsidTr="00B92AAB">
        <w:tc>
          <w:tcPr>
            <w:tcW w:w="9753" w:type="dxa"/>
            <w:gridSpan w:val="7"/>
          </w:tcPr>
          <w:p w14:paraId="4C0D124D" w14:textId="734C9888" w:rsidR="00023774"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5.3 Conformitatea proiectului de act normativ cu legislația UE (în cazul proiectelor ce transpun sau asigură aplicarea unor prevederi de drept UE)</w:t>
            </w:r>
          </w:p>
        </w:tc>
      </w:tr>
      <w:tr w:rsidR="0094694D" w:rsidRPr="00DC1567" w14:paraId="07BAF0DA" w14:textId="77777777" w:rsidTr="00B92AAB">
        <w:tc>
          <w:tcPr>
            <w:tcW w:w="9753" w:type="dxa"/>
            <w:gridSpan w:val="7"/>
          </w:tcPr>
          <w:p w14:paraId="011ED6E6" w14:textId="77777777"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5.3.1 Măsuri normative necesare transpunerii directivelor UE</w:t>
            </w:r>
          </w:p>
          <w:p w14:paraId="14B891B8" w14:textId="0BAF06CA" w:rsidR="00DE32EC" w:rsidRPr="00DC1567" w:rsidRDefault="00192D52" w:rsidP="0000398B">
            <w:pPr>
              <w:tabs>
                <w:tab w:val="left" w:pos="567"/>
              </w:tabs>
              <w:spacing w:beforeLines="60" w:before="144" w:afterLines="100" w:after="240"/>
              <w:jc w:val="both"/>
              <w:rPr>
                <w:rFonts w:ascii="Times New Roman" w:eastAsia="Times New Roman"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02ABB584" w14:textId="77777777" w:rsidTr="00B92AAB">
        <w:tc>
          <w:tcPr>
            <w:tcW w:w="9753" w:type="dxa"/>
            <w:gridSpan w:val="7"/>
          </w:tcPr>
          <w:p w14:paraId="63DD986B" w14:textId="77777777"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5.3.2 Măsuri normative necesare aplicării actelor legislative UE  </w:t>
            </w:r>
          </w:p>
          <w:p w14:paraId="5A5B7BDD" w14:textId="4C6702AE" w:rsidR="00DE32EC" w:rsidRPr="00DC1567" w:rsidRDefault="00BA47B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36B4BD29" w14:textId="77777777" w:rsidTr="00B92AAB">
        <w:tc>
          <w:tcPr>
            <w:tcW w:w="9753" w:type="dxa"/>
            <w:gridSpan w:val="7"/>
          </w:tcPr>
          <w:p w14:paraId="677FEE62" w14:textId="77777777"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5.4 Hotărâri ale Curții de Justiție a Uniunii Europene </w:t>
            </w:r>
          </w:p>
          <w:p w14:paraId="2EACD003" w14:textId="16C425C4" w:rsidR="00DE32EC" w:rsidRPr="00DC1567" w:rsidRDefault="00BA47B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7E14A646" w14:textId="77777777" w:rsidTr="00B92AAB">
        <w:tc>
          <w:tcPr>
            <w:tcW w:w="9753" w:type="dxa"/>
            <w:gridSpan w:val="7"/>
          </w:tcPr>
          <w:p w14:paraId="350478CD" w14:textId="503D203B" w:rsidR="00000E29"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5.5 Alte acte normative şi/sau documente internaționale din care decurg angajamente asumate</w:t>
            </w:r>
          </w:p>
          <w:p w14:paraId="27E4581A" w14:textId="063ECFEA" w:rsidR="00C0231C" w:rsidRPr="00DC1567" w:rsidRDefault="00BA47B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7C165919" w14:textId="77777777" w:rsidTr="00B92AAB">
        <w:tc>
          <w:tcPr>
            <w:tcW w:w="9753" w:type="dxa"/>
            <w:gridSpan w:val="7"/>
          </w:tcPr>
          <w:p w14:paraId="6213FEC6" w14:textId="77777777" w:rsidR="008E56F7" w:rsidRPr="00DC1567" w:rsidRDefault="00611BBF" w:rsidP="0000398B">
            <w:pPr>
              <w:tabs>
                <w:tab w:val="left" w:pos="567"/>
              </w:tabs>
              <w:spacing w:beforeLines="60" w:before="144" w:afterLines="100" w:after="240"/>
              <w:jc w:val="both"/>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5.6. Alte informații</w:t>
            </w:r>
            <w:r w:rsidRPr="00DC1567">
              <w:rPr>
                <w:rFonts w:ascii="Times New Roman" w:eastAsiaTheme="majorEastAsia" w:hAnsi="Times New Roman" w:cs="Times New Roman"/>
                <w:b/>
                <w:noProof w:val="0"/>
                <w:color w:val="000000" w:themeColor="text1"/>
                <w:sz w:val="24"/>
                <w:szCs w:val="24"/>
                <w:lang w:eastAsia="en-US"/>
              </w:rPr>
              <w:t xml:space="preserve">  </w:t>
            </w:r>
          </w:p>
          <w:p w14:paraId="34BE1AC9" w14:textId="20F65659" w:rsidR="00DE32EC" w:rsidRPr="00DC1567" w:rsidRDefault="006F1C87" w:rsidP="0000398B">
            <w:pPr>
              <w:tabs>
                <w:tab w:val="left" w:pos="567"/>
              </w:tabs>
              <w:spacing w:beforeLines="60" w:before="144" w:afterLines="100" w:after="240"/>
              <w:jc w:val="both"/>
              <w:rPr>
                <w:rFonts w:ascii="Times New Roman" w:eastAsiaTheme="majorEastAsia" w:hAnsi="Times New Roman" w:cs="Times New Roman"/>
                <w:bCs/>
                <w:noProof w:val="0"/>
                <w:color w:val="000000" w:themeColor="text1"/>
                <w:sz w:val="24"/>
                <w:szCs w:val="24"/>
                <w:lang w:eastAsia="en-US"/>
              </w:rPr>
            </w:pPr>
            <w:r w:rsidRPr="00DC1567">
              <w:rPr>
                <w:rFonts w:ascii="Times New Roman" w:eastAsiaTheme="majorEastAsia" w:hAnsi="Times New Roman" w:cs="Times New Roman"/>
                <w:bCs/>
                <w:noProof w:val="0"/>
                <w:color w:val="000000" w:themeColor="text1"/>
                <w:sz w:val="24"/>
                <w:szCs w:val="24"/>
                <w:lang w:eastAsia="en-US"/>
              </w:rPr>
              <w:t>Proiectul de act normativ nu se referă la acest subiect.</w:t>
            </w:r>
          </w:p>
        </w:tc>
      </w:tr>
      <w:tr w:rsidR="0094694D" w:rsidRPr="00DC1567" w14:paraId="1BC9D1B7" w14:textId="77777777" w:rsidTr="00B92AAB">
        <w:tc>
          <w:tcPr>
            <w:tcW w:w="9753" w:type="dxa"/>
            <w:gridSpan w:val="7"/>
          </w:tcPr>
          <w:p w14:paraId="1247DB29" w14:textId="55BAF771" w:rsidR="00611BBF" w:rsidRPr="00DC1567" w:rsidRDefault="00611BBF" w:rsidP="0000398B">
            <w:pPr>
              <w:spacing w:beforeLines="60" w:before="144" w:afterLines="100" w:after="240"/>
              <w:jc w:val="both"/>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Secțiunea a 6-a:</w:t>
            </w:r>
          </w:p>
          <w:p w14:paraId="3F46D799" w14:textId="4AD531EB" w:rsidR="00611BBF" w:rsidRPr="00DC1567" w:rsidRDefault="00611BBF" w:rsidP="0000398B">
            <w:pPr>
              <w:tabs>
                <w:tab w:val="left" w:pos="567"/>
              </w:tabs>
              <w:spacing w:beforeLines="60" w:before="144" w:afterLines="100" w:after="240"/>
              <w:jc w:val="both"/>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Consultările efectuate în vederea elaborării proiectului de act normativ</w:t>
            </w:r>
          </w:p>
        </w:tc>
      </w:tr>
      <w:tr w:rsidR="0094694D" w:rsidRPr="00DC1567" w14:paraId="1E5C9581" w14:textId="77777777" w:rsidTr="00B92AAB">
        <w:tc>
          <w:tcPr>
            <w:tcW w:w="9753" w:type="dxa"/>
            <w:gridSpan w:val="7"/>
          </w:tcPr>
          <w:p w14:paraId="2D4AE3F1" w14:textId="77777777" w:rsidR="00611BBF" w:rsidRPr="00DC1567" w:rsidRDefault="00611BBF" w:rsidP="0000398B">
            <w:pPr>
              <w:spacing w:beforeLines="60" w:before="144" w:afterLines="100" w:after="240"/>
              <w:jc w:val="both"/>
              <w:rPr>
                <w:rFonts w:ascii="Times New Roman" w:hAnsi="Times New Roman" w:cs="Times New Roman"/>
                <w:bCs/>
                <w:noProof w:val="0"/>
                <w:color w:val="000000" w:themeColor="text1"/>
                <w:sz w:val="24"/>
                <w:szCs w:val="24"/>
              </w:rPr>
            </w:pPr>
            <w:r w:rsidRPr="00DC1567">
              <w:rPr>
                <w:rFonts w:ascii="Times New Roman" w:hAnsi="Times New Roman" w:cs="Times New Roman"/>
                <w:bCs/>
                <w:noProof w:val="0"/>
                <w:color w:val="000000" w:themeColor="text1"/>
                <w:sz w:val="24"/>
                <w:szCs w:val="24"/>
              </w:rPr>
              <w:t>6.1 Informații privind neaplicarea procedurii de participare la elaborarea actelor normative</w:t>
            </w:r>
          </w:p>
          <w:p w14:paraId="30E6B939" w14:textId="255B4E8E" w:rsidR="00DE32EC" w:rsidRPr="00DC1567" w:rsidRDefault="007B14D5"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323CB063" w14:textId="77777777" w:rsidTr="00B92AAB">
        <w:tc>
          <w:tcPr>
            <w:tcW w:w="9753" w:type="dxa"/>
            <w:gridSpan w:val="7"/>
          </w:tcPr>
          <w:p w14:paraId="46C6EB6A" w14:textId="77777777" w:rsidR="005F6E2F" w:rsidRDefault="00611BBF" w:rsidP="0000398B">
            <w:pPr>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hAnsi="Times New Roman" w:cs="Times New Roman"/>
                <w:bCs/>
                <w:noProof w:val="0"/>
                <w:color w:val="000000" w:themeColor="text1"/>
                <w:sz w:val="24"/>
                <w:szCs w:val="24"/>
              </w:rPr>
              <w:t>6.2 Informații privind procesul de consultare cu organizații neguvernamentale, institute de cercetare și alte organisme implicate.</w:t>
            </w:r>
            <w:r w:rsidRPr="00DC1567">
              <w:rPr>
                <w:rFonts w:ascii="Times New Roman" w:hAnsi="Times New Roman" w:cs="Times New Roman"/>
                <w:noProof w:val="0"/>
                <w:color w:val="000000" w:themeColor="text1"/>
                <w:sz w:val="24"/>
                <w:szCs w:val="24"/>
              </w:rPr>
              <w:t xml:space="preserve"> </w:t>
            </w:r>
          </w:p>
          <w:p w14:paraId="127F21B4" w14:textId="0A8011A1" w:rsidR="0000398B" w:rsidRPr="00DC1567" w:rsidRDefault="005C50D4" w:rsidP="0000398B">
            <w:pPr>
              <w:spacing w:beforeLines="60" w:before="144" w:afterLines="100" w:after="240"/>
              <w:jc w:val="both"/>
              <w:rPr>
                <w:rFonts w:ascii="Times New Roman" w:hAnsi="Times New Roman" w:cs="Times New Roman"/>
                <w:noProof w:val="0"/>
                <w:color w:val="000000" w:themeColor="text1"/>
                <w:sz w:val="24"/>
                <w:szCs w:val="24"/>
              </w:rPr>
            </w:pPr>
            <w:r>
              <w:rPr>
                <w:rFonts w:ascii="Times New Roman" w:eastAsiaTheme="majorEastAsia" w:hAnsi="Times New Roman" w:cs="Times New Roman"/>
                <w:noProof w:val="0"/>
                <w:color w:val="000000" w:themeColor="text1"/>
                <w:sz w:val="24"/>
                <w:szCs w:val="24"/>
                <w:lang w:eastAsia="en-US"/>
              </w:rPr>
              <w:t xml:space="preserve">Proiectul de act normativ nu se referă la acest subiect. </w:t>
            </w:r>
          </w:p>
        </w:tc>
      </w:tr>
      <w:tr w:rsidR="0094694D" w:rsidRPr="00DC1567" w14:paraId="7D27F4EF" w14:textId="77777777" w:rsidTr="00B92AAB">
        <w:tc>
          <w:tcPr>
            <w:tcW w:w="9753" w:type="dxa"/>
            <w:gridSpan w:val="7"/>
          </w:tcPr>
          <w:p w14:paraId="41A5065C" w14:textId="77777777"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6.3 Informații despre consultările organizate cu autoritățile administrației publice locale </w:t>
            </w:r>
          </w:p>
          <w:p w14:paraId="3CC2EC03" w14:textId="77777777" w:rsidR="00DE32EC" w:rsidRDefault="00094FB7" w:rsidP="0000398B">
            <w:pPr>
              <w:spacing w:beforeLines="60" w:before="144" w:afterLines="100" w:after="240"/>
              <w:jc w:val="both"/>
              <w:rPr>
                <w:rFonts w:ascii="Times New Roman" w:hAnsi="Times New Roman" w:cs="Times New Roman"/>
                <w:bCs/>
                <w:noProof w:val="0"/>
                <w:color w:val="000000" w:themeColor="text1"/>
                <w:sz w:val="24"/>
                <w:szCs w:val="24"/>
              </w:rPr>
            </w:pPr>
            <w:r w:rsidRPr="00DC1567">
              <w:rPr>
                <w:rFonts w:ascii="Times New Roman" w:hAnsi="Times New Roman" w:cs="Times New Roman"/>
                <w:bCs/>
                <w:noProof w:val="0"/>
                <w:color w:val="000000" w:themeColor="text1"/>
                <w:sz w:val="24"/>
                <w:szCs w:val="24"/>
              </w:rPr>
              <w:t>Proiectul de act normativ nu se referă la acest subiect</w:t>
            </w:r>
          </w:p>
          <w:p w14:paraId="661C431C" w14:textId="3CD2D99D" w:rsid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p>
          <w:p w14:paraId="3D2CDD06" w14:textId="51F2AEAE" w:rsidR="005C50D4" w:rsidRPr="00DC1567" w:rsidRDefault="005C50D4" w:rsidP="0000398B">
            <w:pPr>
              <w:spacing w:beforeLines="60" w:before="144" w:afterLines="100" w:after="240"/>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Potrivit HG nr. 635/2022</w:t>
            </w:r>
            <w:r>
              <w:t xml:space="preserve"> </w:t>
            </w:r>
            <w:r w:rsidRPr="005C50D4">
              <w:rPr>
                <w:rFonts w:ascii="Times New Roman" w:hAnsi="Times New Roman" w:cs="Times New Roman"/>
                <w:bCs/>
                <w:noProof w:val="0"/>
                <w:color w:val="000000" w:themeColor="text1"/>
                <w:sz w:val="24"/>
                <w:szCs w:val="24"/>
              </w:rPr>
              <w:t>privind procedura de consultare a structurilor asociative ale autorităţilor administraţiei publice locale la elaborarea proiectelor de acte normative</w:t>
            </w:r>
            <w:r>
              <w:rPr>
                <w:rFonts w:ascii="Times New Roman" w:hAnsi="Times New Roman" w:cs="Times New Roman"/>
                <w:bCs/>
                <w:noProof w:val="0"/>
                <w:color w:val="000000" w:themeColor="text1"/>
                <w:sz w:val="24"/>
                <w:szCs w:val="24"/>
              </w:rPr>
              <w:t>.</w:t>
            </w:r>
          </w:p>
        </w:tc>
      </w:tr>
      <w:tr w:rsidR="0094694D" w:rsidRPr="00DC1567" w14:paraId="46421A19" w14:textId="77777777" w:rsidTr="00597846">
        <w:tc>
          <w:tcPr>
            <w:tcW w:w="9753" w:type="dxa"/>
            <w:gridSpan w:val="7"/>
          </w:tcPr>
          <w:p w14:paraId="1FB08103" w14:textId="2DB7A257" w:rsidR="001B1E80"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rPr>
            </w:pPr>
            <w:r w:rsidRPr="00DC1567">
              <w:rPr>
                <w:rFonts w:ascii="Times New Roman" w:eastAsiaTheme="majorEastAsia" w:hAnsi="Times New Roman" w:cs="Times New Roman"/>
                <w:noProof w:val="0"/>
                <w:color w:val="000000" w:themeColor="text1"/>
                <w:sz w:val="24"/>
                <w:szCs w:val="24"/>
              </w:rPr>
              <w:t>6.4 Informații privind puncte de vedere/opinii emise de organisme consultative constituite prin acte normative</w:t>
            </w:r>
          </w:p>
          <w:p w14:paraId="0AF07841" w14:textId="32F1C377" w:rsidR="008B171D" w:rsidRPr="00DC1567" w:rsidRDefault="007B14D5"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6A6B6D3A" w14:textId="77777777" w:rsidTr="00B92AAB">
        <w:tc>
          <w:tcPr>
            <w:tcW w:w="9753" w:type="dxa"/>
            <w:gridSpan w:val="7"/>
          </w:tcPr>
          <w:p w14:paraId="78948186" w14:textId="77777777"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6.5 Informații privind avizarea de către: </w:t>
            </w:r>
          </w:p>
          <w:p w14:paraId="7439DDCC" w14:textId="4C7C1CC6"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w:t>
            </w:r>
            <w:r w:rsidR="00C046F1" w:rsidRPr="00DC1567">
              <w:rPr>
                <w:rFonts w:ascii="Times New Roman" w:eastAsiaTheme="majorEastAsia" w:hAnsi="Times New Roman" w:cs="Times New Roman"/>
                <w:noProof w:val="0"/>
                <w:color w:val="000000" w:themeColor="text1"/>
                <w:sz w:val="24"/>
                <w:szCs w:val="24"/>
                <w:lang w:eastAsia="en-US"/>
              </w:rPr>
              <w:t xml:space="preserve"> </w:t>
            </w:r>
            <w:r w:rsidRPr="00DC1567">
              <w:rPr>
                <w:rFonts w:ascii="Times New Roman" w:eastAsiaTheme="majorEastAsia" w:hAnsi="Times New Roman" w:cs="Times New Roman"/>
                <w:noProof w:val="0"/>
                <w:color w:val="000000" w:themeColor="text1"/>
                <w:sz w:val="24"/>
                <w:szCs w:val="24"/>
                <w:lang w:eastAsia="en-US"/>
              </w:rPr>
              <w:t xml:space="preserve">Consiliul Legislativ </w:t>
            </w:r>
            <w:r w:rsidR="00A34607" w:rsidRPr="00DC1567">
              <w:rPr>
                <w:rFonts w:ascii="Times New Roman" w:eastAsiaTheme="majorEastAsia" w:hAnsi="Times New Roman" w:cs="Times New Roman"/>
                <w:noProof w:val="0"/>
                <w:color w:val="000000" w:themeColor="text1"/>
                <w:sz w:val="24"/>
                <w:szCs w:val="24"/>
                <w:lang w:eastAsia="en-US"/>
              </w:rPr>
              <w:t>- proiectul de act normativ se supune avizării Consiliul Legislativ de către Secretariatul General al Guvernului</w:t>
            </w:r>
          </w:p>
          <w:p w14:paraId="6AFEDF81" w14:textId="3F04AF6B"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w:t>
            </w:r>
            <w:r w:rsidR="00C046F1" w:rsidRPr="00DC1567">
              <w:rPr>
                <w:rFonts w:ascii="Times New Roman" w:eastAsiaTheme="majorEastAsia" w:hAnsi="Times New Roman" w:cs="Times New Roman"/>
                <w:noProof w:val="0"/>
                <w:color w:val="000000" w:themeColor="text1"/>
                <w:sz w:val="24"/>
                <w:szCs w:val="24"/>
                <w:lang w:eastAsia="en-US"/>
              </w:rPr>
              <w:t xml:space="preserve"> </w:t>
            </w:r>
            <w:r w:rsidRPr="00DC1567">
              <w:rPr>
                <w:rFonts w:ascii="Times New Roman" w:eastAsiaTheme="majorEastAsia" w:hAnsi="Times New Roman" w:cs="Times New Roman"/>
                <w:noProof w:val="0"/>
                <w:color w:val="000000" w:themeColor="text1"/>
                <w:sz w:val="24"/>
                <w:szCs w:val="24"/>
                <w:lang w:eastAsia="en-US"/>
              </w:rPr>
              <w:t xml:space="preserve">Consiliul Suprem de Apărare a Țării </w:t>
            </w:r>
          </w:p>
          <w:p w14:paraId="4ED15691" w14:textId="38E3F1AC"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bookmarkStart w:id="1" w:name="_Hlk190973041"/>
            <w:r w:rsidRPr="00DC1567">
              <w:rPr>
                <w:rFonts w:ascii="Times New Roman" w:eastAsiaTheme="majorEastAsia" w:hAnsi="Times New Roman" w:cs="Times New Roman"/>
                <w:noProof w:val="0"/>
                <w:color w:val="000000" w:themeColor="text1"/>
                <w:sz w:val="24"/>
                <w:szCs w:val="24"/>
                <w:lang w:eastAsia="en-US"/>
              </w:rPr>
              <w:t>c)</w:t>
            </w:r>
            <w:r w:rsidR="00C046F1" w:rsidRPr="00DC1567">
              <w:rPr>
                <w:rFonts w:ascii="Times New Roman" w:eastAsiaTheme="majorEastAsia" w:hAnsi="Times New Roman" w:cs="Times New Roman"/>
                <w:noProof w:val="0"/>
                <w:color w:val="000000" w:themeColor="text1"/>
                <w:sz w:val="24"/>
                <w:szCs w:val="24"/>
                <w:lang w:eastAsia="en-US"/>
              </w:rPr>
              <w:t xml:space="preserve"> </w:t>
            </w:r>
            <w:r w:rsidRPr="00DC1567">
              <w:rPr>
                <w:rFonts w:ascii="Times New Roman" w:eastAsiaTheme="majorEastAsia" w:hAnsi="Times New Roman" w:cs="Times New Roman"/>
                <w:noProof w:val="0"/>
                <w:color w:val="000000" w:themeColor="text1"/>
                <w:sz w:val="24"/>
                <w:szCs w:val="24"/>
                <w:lang w:eastAsia="en-US"/>
              </w:rPr>
              <w:t xml:space="preserve">Consiliul Economic și Social </w:t>
            </w:r>
            <w:r w:rsidR="008311B0" w:rsidRPr="00DC1567">
              <w:rPr>
                <w:rFonts w:ascii="Times New Roman" w:eastAsiaTheme="majorEastAsia" w:hAnsi="Times New Roman" w:cs="Times New Roman"/>
                <w:noProof w:val="0"/>
                <w:color w:val="000000" w:themeColor="text1"/>
                <w:sz w:val="24"/>
                <w:szCs w:val="24"/>
                <w:lang w:eastAsia="en-US"/>
              </w:rPr>
              <w:t xml:space="preserve">– </w:t>
            </w:r>
            <w:r w:rsidR="00C702F6" w:rsidRPr="00DC1567">
              <w:rPr>
                <w:rFonts w:ascii="Times New Roman" w:eastAsiaTheme="majorEastAsia" w:hAnsi="Times New Roman" w:cs="Times New Roman"/>
                <w:noProof w:val="0"/>
                <w:color w:val="000000" w:themeColor="text1"/>
                <w:sz w:val="24"/>
                <w:szCs w:val="24"/>
                <w:lang w:eastAsia="en-US"/>
              </w:rPr>
              <w:t>proiectul de act normativ se supune avizării Consiliul Economic și Social</w:t>
            </w:r>
          </w:p>
          <w:bookmarkEnd w:id="1"/>
          <w:p w14:paraId="4FF2D882" w14:textId="1D19D460"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d)</w:t>
            </w:r>
            <w:r w:rsidR="00C046F1" w:rsidRPr="00DC1567">
              <w:rPr>
                <w:rFonts w:ascii="Times New Roman" w:eastAsiaTheme="majorEastAsia" w:hAnsi="Times New Roman" w:cs="Times New Roman"/>
                <w:noProof w:val="0"/>
                <w:color w:val="000000" w:themeColor="text1"/>
                <w:sz w:val="24"/>
                <w:szCs w:val="24"/>
                <w:lang w:eastAsia="en-US"/>
              </w:rPr>
              <w:t xml:space="preserve"> </w:t>
            </w:r>
            <w:r w:rsidRPr="00DC1567">
              <w:rPr>
                <w:rFonts w:ascii="Times New Roman" w:eastAsiaTheme="majorEastAsia" w:hAnsi="Times New Roman" w:cs="Times New Roman"/>
                <w:noProof w:val="0"/>
                <w:color w:val="000000" w:themeColor="text1"/>
                <w:sz w:val="24"/>
                <w:szCs w:val="24"/>
                <w:lang w:eastAsia="en-US"/>
              </w:rPr>
              <w:t xml:space="preserve">Consiliul Concurenței </w:t>
            </w:r>
            <w:r w:rsidR="00E406E6" w:rsidRPr="00DC1567">
              <w:rPr>
                <w:rFonts w:ascii="Times New Roman" w:eastAsiaTheme="majorEastAsia" w:hAnsi="Times New Roman" w:cs="Times New Roman"/>
                <w:noProof w:val="0"/>
                <w:color w:val="000000" w:themeColor="text1"/>
                <w:sz w:val="24"/>
                <w:szCs w:val="24"/>
                <w:lang w:eastAsia="en-US"/>
              </w:rPr>
              <w:t xml:space="preserve">– </w:t>
            </w:r>
            <w:r w:rsidR="00BA47BD" w:rsidRPr="00DC1567">
              <w:rPr>
                <w:rFonts w:ascii="Times New Roman" w:eastAsiaTheme="majorEastAsia" w:hAnsi="Times New Roman" w:cs="Times New Roman"/>
                <w:noProof w:val="0"/>
                <w:color w:val="000000" w:themeColor="text1"/>
                <w:sz w:val="24"/>
                <w:szCs w:val="24"/>
                <w:lang w:eastAsia="en-US"/>
              </w:rPr>
              <w:t>proiectul de act normativ se supune avizării Consiliului Concurenței</w:t>
            </w:r>
          </w:p>
          <w:p w14:paraId="6A58CDBC" w14:textId="5FB4B5A9" w:rsidR="00975E1C" w:rsidRPr="00DC1567" w:rsidRDefault="00611BBF" w:rsidP="0000398B">
            <w:pPr>
              <w:autoSpaceDE w:val="0"/>
              <w:autoSpaceDN w:val="0"/>
              <w:adjustRightInd w:val="0"/>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e)</w:t>
            </w:r>
            <w:r w:rsidR="00C046F1" w:rsidRPr="00DC1567">
              <w:rPr>
                <w:rFonts w:ascii="Times New Roman" w:eastAsiaTheme="majorEastAsia" w:hAnsi="Times New Roman" w:cs="Times New Roman"/>
                <w:noProof w:val="0"/>
                <w:color w:val="000000" w:themeColor="text1"/>
                <w:sz w:val="24"/>
                <w:szCs w:val="24"/>
                <w:lang w:eastAsia="en-US"/>
              </w:rPr>
              <w:t xml:space="preserve"> </w:t>
            </w:r>
            <w:r w:rsidRPr="00DC1567">
              <w:rPr>
                <w:rFonts w:ascii="Times New Roman" w:eastAsiaTheme="majorEastAsia" w:hAnsi="Times New Roman" w:cs="Times New Roman"/>
                <w:noProof w:val="0"/>
                <w:color w:val="000000" w:themeColor="text1"/>
                <w:sz w:val="24"/>
                <w:szCs w:val="24"/>
                <w:lang w:eastAsia="en-US"/>
              </w:rPr>
              <w:t xml:space="preserve">Curtea de Conturi </w:t>
            </w:r>
          </w:p>
          <w:p w14:paraId="0AB038A0" w14:textId="7FF3363F" w:rsidR="001A682B" w:rsidRPr="00DC1567" w:rsidRDefault="005C50D4" w:rsidP="0000398B">
            <w:pPr>
              <w:spacing w:beforeLines="60" w:before="144" w:afterLines="100" w:after="240"/>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Se solicită</w:t>
            </w:r>
            <w:r w:rsidR="007B14D5" w:rsidRPr="00DC1567">
              <w:rPr>
                <w:rFonts w:ascii="Times New Roman" w:hAnsi="Times New Roman" w:cs="Times New Roman"/>
                <w:bCs/>
                <w:noProof w:val="0"/>
                <w:color w:val="000000" w:themeColor="text1"/>
                <w:sz w:val="24"/>
                <w:szCs w:val="24"/>
              </w:rPr>
              <w:t xml:space="preserve"> </w:t>
            </w:r>
            <w:r w:rsidR="001A682B" w:rsidRPr="00DC1567">
              <w:rPr>
                <w:rFonts w:ascii="Times New Roman" w:hAnsi="Times New Roman" w:cs="Times New Roman"/>
                <w:bCs/>
                <w:noProof w:val="0"/>
                <w:color w:val="000000" w:themeColor="text1"/>
                <w:sz w:val="24"/>
                <w:szCs w:val="24"/>
              </w:rPr>
              <w:t>punctul de vedere al</w:t>
            </w:r>
            <w:r w:rsidR="007B14D5" w:rsidRPr="00DC1567">
              <w:rPr>
                <w:rFonts w:ascii="Times New Roman" w:hAnsi="Times New Roman" w:cs="Times New Roman"/>
                <w:bCs/>
                <w:noProof w:val="0"/>
                <w:color w:val="000000" w:themeColor="text1"/>
                <w:sz w:val="24"/>
                <w:szCs w:val="24"/>
              </w:rPr>
              <w:t xml:space="preserve"> următoarelor instituții publice, autorități și entități implicate</w:t>
            </w:r>
            <w:r w:rsidR="001A682B" w:rsidRPr="00DC1567">
              <w:rPr>
                <w:rFonts w:ascii="Times New Roman" w:hAnsi="Times New Roman" w:cs="Times New Roman"/>
                <w:bCs/>
                <w:noProof w:val="0"/>
                <w:color w:val="000000" w:themeColor="text1"/>
                <w:sz w:val="24"/>
                <w:szCs w:val="24"/>
              </w:rPr>
              <w:t>:</w:t>
            </w:r>
          </w:p>
          <w:p w14:paraId="45B5CC4D" w14:textId="5024B9DC" w:rsidR="00AF75A0" w:rsidRPr="00DC1567" w:rsidRDefault="005C50D4" w:rsidP="0000398B">
            <w:pPr>
              <w:pStyle w:val="Listparagraf"/>
              <w:numPr>
                <w:ilvl w:val="0"/>
                <w:numId w:val="36"/>
              </w:numPr>
              <w:spacing w:beforeLines="60" w:before="144" w:afterLines="100" w:after="240"/>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 xml:space="preserve">Ministerul Afacerilor Externe,  </w:t>
            </w:r>
            <w:r w:rsidR="001A682B" w:rsidRPr="00DC1567">
              <w:rPr>
                <w:rFonts w:ascii="Times New Roman" w:hAnsi="Times New Roman" w:cs="Times New Roman"/>
                <w:bCs/>
                <w:noProof w:val="0"/>
                <w:color w:val="000000" w:themeColor="text1"/>
                <w:sz w:val="24"/>
                <w:szCs w:val="24"/>
              </w:rPr>
              <w:t>Autorit</w:t>
            </w:r>
            <w:r w:rsidR="00AF75A0" w:rsidRPr="00DC1567">
              <w:rPr>
                <w:rFonts w:ascii="Times New Roman" w:hAnsi="Times New Roman" w:cs="Times New Roman"/>
                <w:bCs/>
                <w:noProof w:val="0"/>
                <w:color w:val="000000" w:themeColor="text1"/>
                <w:sz w:val="24"/>
                <w:szCs w:val="24"/>
              </w:rPr>
              <w:t>atea</w:t>
            </w:r>
            <w:r w:rsidR="001A682B" w:rsidRPr="00DC1567">
              <w:rPr>
                <w:rFonts w:ascii="Times New Roman" w:hAnsi="Times New Roman" w:cs="Times New Roman"/>
                <w:bCs/>
                <w:noProof w:val="0"/>
                <w:color w:val="000000" w:themeColor="text1"/>
                <w:sz w:val="24"/>
                <w:szCs w:val="24"/>
              </w:rPr>
              <w:t xml:space="preserve"> Națională de Reglementare în domeniul Energiei</w:t>
            </w:r>
            <w:r w:rsidR="008F08DC">
              <w:rPr>
                <w:rFonts w:ascii="Times New Roman" w:hAnsi="Times New Roman" w:cs="Times New Roman"/>
                <w:bCs/>
                <w:noProof w:val="0"/>
                <w:color w:val="000000" w:themeColor="text1"/>
                <w:sz w:val="24"/>
                <w:szCs w:val="24"/>
              </w:rPr>
              <w:t>.</w:t>
            </w:r>
            <w:r w:rsidR="003817F7">
              <w:rPr>
                <w:rFonts w:ascii="Times New Roman" w:hAnsi="Times New Roman" w:cs="Times New Roman"/>
                <w:bCs/>
                <w:noProof w:val="0"/>
                <w:color w:val="000000" w:themeColor="text1"/>
                <w:sz w:val="24"/>
                <w:szCs w:val="24"/>
              </w:rPr>
              <w:t xml:space="preserve"> </w:t>
            </w:r>
          </w:p>
        </w:tc>
      </w:tr>
      <w:tr w:rsidR="0094694D" w:rsidRPr="00DC1567" w14:paraId="4CA38860" w14:textId="77777777" w:rsidTr="00597846">
        <w:tc>
          <w:tcPr>
            <w:tcW w:w="9753" w:type="dxa"/>
            <w:gridSpan w:val="7"/>
          </w:tcPr>
          <w:p w14:paraId="5991E24D" w14:textId="0E94D1DA" w:rsidR="008B171D"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6.6 Alte </w:t>
            </w:r>
            <w:r w:rsidR="001A682B" w:rsidRPr="00DC1567">
              <w:rPr>
                <w:rFonts w:ascii="Times New Roman" w:eastAsiaTheme="majorEastAsia" w:hAnsi="Times New Roman" w:cs="Times New Roman"/>
                <w:noProof w:val="0"/>
                <w:color w:val="000000" w:themeColor="text1"/>
                <w:sz w:val="24"/>
                <w:szCs w:val="24"/>
                <w:lang w:eastAsia="en-US"/>
              </w:rPr>
              <w:t>informații - Proiectul de act normativ nu se referă la acest subiect</w:t>
            </w:r>
          </w:p>
        </w:tc>
      </w:tr>
      <w:tr w:rsidR="0094694D" w:rsidRPr="00DC1567" w14:paraId="53215D40" w14:textId="77777777" w:rsidTr="00B92AAB">
        <w:tc>
          <w:tcPr>
            <w:tcW w:w="9753" w:type="dxa"/>
            <w:gridSpan w:val="7"/>
          </w:tcPr>
          <w:p w14:paraId="159FC8BC" w14:textId="538C5B93" w:rsidR="00611BBF" w:rsidRPr="00DC1567" w:rsidRDefault="00611BBF" w:rsidP="0000398B">
            <w:pPr>
              <w:spacing w:beforeLines="60" w:before="144" w:afterLines="100" w:after="240"/>
              <w:jc w:val="center"/>
              <w:rPr>
                <w:rFonts w:ascii="Times New Roman" w:eastAsiaTheme="majorEastAsia" w:hAnsi="Times New Roman" w:cs="Times New Roman"/>
                <w:b/>
                <w:noProof w:val="0"/>
                <w:color w:val="000000" w:themeColor="text1"/>
                <w:sz w:val="24"/>
                <w:szCs w:val="24"/>
              </w:rPr>
            </w:pPr>
            <w:r w:rsidRPr="00DC1567">
              <w:rPr>
                <w:rFonts w:ascii="Times New Roman" w:eastAsiaTheme="majorEastAsia" w:hAnsi="Times New Roman" w:cs="Times New Roman"/>
                <w:b/>
                <w:noProof w:val="0"/>
                <w:color w:val="000000" w:themeColor="text1"/>
                <w:sz w:val="24"/>
                <w:szCs w:val="24"/>
              </w:rPr>
              <w:t>Secțiunea a 7-a:</w:t>
            </w:r>
          </w:p>
          <w:p w14:paraId="610D37C5" w14:textId="50BBAC7E" w:rsidR="00BB619F" w:rsidRPr="00DC1567" w:rsidRDefault="006F5940" w:rsidP="0000398B">
            <w:pPr>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Activități</w:t>
            </w:r>
            <w:r w:rsidR="00611BBF" w:rsidRPr="00DC1567">
              <w:rPr>
                <w:rFonts w:ascii="Times New Roman" w:eastAsiaTheme="majorEastAsia" w:hAnsi="Times New Roman" w:cs="Times New Roman"/>
                <w:b/>
                <w:noProof w:val="0"/>
                <w:color w:val="000000" w:themeColor="text1"/>
                <w:sz w:val="24"/>
                <w:szCs w:val="24"/>
                <w:lang w:eastAsia="en-US"/>
              </w:rPr>
              <w:t xml:space="preserve"> de informare publică privind elaborarea şi implementarea proiectului de act normativ</w:t>
            </w:r>
          </w:p>
        </w:tc>
      </w:tr>
      <w:tr w:rsidR="0094694D" w:rsidRPr="00DC1567" w14:paraId="0C428DAF" w14:textId="77777777" w:rsidTr="00B92AAB">
        <w:tc>
          <w:tcPr>
            <w:tcW w:w="9753" w:type="dxa"/>
            <w:gridSpan w:val="7"/>
          </w:tcPr>
          <w:p w14:paraId="43214C04" w14:textId="77A467BB" w:rsidR="00132662" w:rsidRPr="00DC1567" w:rsidRDefault="00BB619F" w:rsidP="0000398B">
            <w:pPr>
              <w:pStyle w:val="Listparagraf"/>
              <w:numPr>
                <w:ilvl w:val="1"/>
                <w:numId w:val="17"/>
              </w:numPr>
              <w:autoSpaceDE w:val="0"/>
              <w:autoSpaceDN w:val="0"/>
              <w:adjustRightInd w:val="0"/>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Informarea societății civile cu privire la elaborarea proiectului de act normativ</w:t>
            </w:r>
          </w:p>
          <w:p w14:paraId="7F4EC759" w14:textId="009C85B5" w:rsidR="00B05109" w:rsidRPr="00DC1567" w:rsidRDefault="00AF75A0" w:rsidP="0000398B">
            <w:pPr>
              <w:autoSpaceDE w:val="0"/>
              <w:autoSpaceDN w:val="0"/>
              <w:adjustRightInd w:val="0"/>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eastAsiaTheme="majorEastAsia" w:hAnsi="Times New Roman" w:cs="Times New Roman"/>
                <w:noProof w:val="0"/>
                <w:color w:val="000000" w:themeColor="text1"/>
                <w:sz w:val="24"/>
                <w:szCs w:val="24"/>
                <w:lang w:eastAsia="en-US"/>
              </w:rPr>
              <w:t>În procesul de elaborare a proiectului de act normativ au fost îndeplinite procedurile de transparentă instituite prin Legea nr. 52/2003 privind transparența decizională în administrația publică, republicată, cu modificările ulterioare.</w:t>
            </w:r>
            <w:r w:rsidR="002327E2" w:rsidRPr="00DC1567">
              <w:rPr>
                <w:rFonts w:ascii="Times New Roman" w:eastAsiaTheme="majorEastAsia" w:hAnsi="Times New Roman" w:cs="Times New Roman"/>
                <w:noProof w:val="0"/>
                <w:color w:val="000000" w:themeColor="text1"/>
                <w:sz w:val="24"/>
                <w:szCs w:val="24"/>
                <w:lang w:eastAsia="en-US"/>
              </w:rPr>
              <w:t xml:space="preserve"> </w:t>
            </w:r>
            <w:r w:rsidR="004B608B">
              <w:rPr>
                <w:rFonts w:ascii="Times New Roman" w:eastAsiaTheme="majorEastAsia" w:hAnsi="Times New Roman" w:cs="Times New Roman"/>
                <w:noProof w:val="0"/>
                <w:color w:val="000000" w:themeColor="text1"/>
                <w:sz w:val="24"/>
                <w:szCs w:val="24"/>
                <w:lang w:eastAsia="en-US"/>
              </w:rPr>
              <w:t xml:space="preserve">Proiectul de act normativ a fost postat pe site-ul Ministerul Energiei </w:t>
            </w:r>
            <w:r w:rsidR="00E5642B">
              <w:rPr>
                <w:rFonts w:ascii="Times New Roman" w:eastAsiaTheme="majorEastAsia" w:hAnsi="Times New Roman" w:cs="Times New Roman"/>
                <w:noProof w:val="0"/>
                <w:color w:val="000000" w:themeColor="text1"/>
                <w:sz w:val="24"/>
                <w:szCs w:val="24"/>
                <w:lang w:eastAsia="en-US"/>
              </w:rPr>
              <w:t>î</w:t>
            </w:r>
            <w:r w:rsidR="004B608B">
              <w:rPr>
                <w:rFonts w:ascii="Times New Roman" w:eastAsiaTheme="majorEastAsia" w:hAnsi="Times New Roman" w:cs="Times New Roman"/>
                <w:noProof w:val="0"/>
                <w:color w:val="000000" w:themeColor="text1"/>
                <w:sz w:val="24"/>
                <w:szCs w:val="24"/>
                <w:lang w:eastAsia="en-US"/>
              </w:rPr>
              <w:t xml:space="preserve">n data de </w:t>
            </w:r>
            <w:r w:rsidR="00E5642B">
              <w:rPr>
                <w:rFonts w:ascii="Times New Roman" w:eastAsiaTheme="majorEastAsia" w:hAnsi="Times New Roman" w:cs="Times New Roman"/>
                <w:noProof w:val="0"/>
                <w:color w:val="000000" w:themeColor="text1"/>
                <w:sz w:val="24"/>
                <w:szCs w:val="24"/>
                <w:lang w:eastAsia="en-US"/>
              </w:rPr>
              <w:t xml:space="preserve">4 </w:t>
            </w:r>
            <w:r w:rsidR="004B608B">
              <w:rPr>
                <w:rFonts w:ascii="Times New Roman" w:eastAsiaTheme="majorEastAsia" w:hAnsi="Times New Roman" w:cs="Times New Roman"/>
                <w:noProof w:val="0"/>
                <w:color w:val="000000" w:themeColor="text1"/>
                <w:sz w:val="24"/>
                <w:szCs w:val="24"/>
                <w:lang w:eastAsia="en-US"/>
              </w:rPr>
              <w:t>februarie 2026.</w:t>
            </w:r>
          </w:p>
        </w:tc>
      </w:tr>
      <w:tr w:rsidR="0094694D" w:rsidRPr="00DC1567" w14:paraId="2426397A" w14:textId="77777777" w:rsidTr="00B92AAB">
        <w:tc>
          <w:tcPr>
            <w:tcW w:w="9753" w:type="dxa"/>
            <w:gridSpan w:val="7"/>
          </w:tcPr>
          <w:p w14:paraId="1E944DE5" w14:textId="7B14EA4E" w:rsidR="00BB619F" w:rsidRPr="00DC1567" w:rsidRDefault="00BB619F" w:rsidP="0000398B">
            <w:pPr>
              <w:pStyle w:val="Listparagraf"/>
              <w:numPr>
                <w:ilvl w:val="1"/>
                <w:numId w:val="17"/>
              </w:num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Informarea societății civile cu privire la eventualul impact asupra mediului în urma implementării proiectului de act normativ, precum şi efectele asupra sănătății și securității cetățenilor sau diversității biologice.</w:t>
            </w:r>
          </w:p>
          <w:p w14:paraId="32C0A928" w14:textId="6B39E371" w:rsidR="00DE32EC" w:rsidRPr="00D72CE8" w:rsidRDefault="004B608B" w:rsidP="00D72CE8">
            <w:pPr>
              <w:spacing w:beforeLines="60" w:before="144" w:afterLines="100" w:after="240"/>
              <w:rPr>
                <w:rFonts w:ascii="Times New Roman" w:hAnsi="Times New Roman" w:cs="Times New Roman"/>
                <w:noProof w:val="0"/>
                <w:color w:val="000000" w:themeColor="text1"/>
                <w:sz w:val="24"/>
                <w:szCs w:val="24"/>
              </w:rPr>
            </w:pPr>
            <w:r w:rsidRPr="00D72CE8">
              <w:rPr>
                <w:rFonts w:ascii="Times New Roman" w:eastAsiaTheme="majorEastAsia" w:hAnsi="Times New Roman" w:cs="Times New Roman"/>
                <w:noProof w:val="0"/>
                <w:color w:val="000000" w:themeColor="text1"/>
                <w:sz w:val="24"/>
                <w:szCs w:val="24"/>
                <w:lang w:eastAsia="en-US"/>
              </w:rPr>
              <w:t>Proiectul de act normativ nu se referă la acest subiect</w:t>
            </w:r>
            <w:r w:rsidRPr="00D72CE8" w:rsidDel="004B608B">
              <w:rPr>
                <w:rFonts w:ascii="Times New Roman" w:eastAsiaTheme="majorEastAsia" w:hAnsi="Times New Roman" w:cs="Times New Roman"/>
                <w:noProof w:val="0"/>
                <w:color w:val="000000" w:themeColor="text1"/>
                <w:sz w:val="24"/>
                <w:szCs w:val="24"/>
                <w:lang w:eastAsia="en-US"/>
              </w:rPr>
              <w:t xml:space="preserve"> </w:t>
            </w:r>
          </w:p>
        </w:tc>
      </w:tr>
      <w:tr w:rsidR="0094694D" w:rsidRPr="00DC1567" w14:paraId="1F830812" w14:textId="77777777" w:rsidTr="00B92AAB">
        <w:tc>
          <w:tcPr>
            <w:tcW w:w="9753" w:type="dxa"/>
            <w:gridSpan w:val="7"/>
          </w:tcPr>
          <w:p w14:paraId="2F3C4E5F" w14:textId="3797502E" w:rsidR="00BB619F" w:rsidRPr="00DC1567" w:rsidRDefault="00BB619F" w:rsidP="0000398B">
            <w:pPr>
              <w:pStyle w:val="Listparagraf"/>
              <w:numPr>
                <w:ilvl w:val="1"/>
                <w:numId w:val="17"/>
              </w:numPr>
              <w:spacing w:beforeLines="60" w:before="144" w:afterLines="100" w:after="240"/>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Alte informații</w:t>
            </w:r>
            <w:r w:rsidRPr="00DC1567">
              <w:rPr>
                <w:rFonts w:ascii="Times New Roman" w:eastAsiaTheme="majorEastAsia" w:hAnsi="Times New Roman" w:cs="Times New Roman"/>
                <w:b/>
                <w:noProof w:val="0"/>
                <w:color w:val="000000" w:themeColor="text1"/>
                <w:sz w:val="24"/>
                <w:szCs w:val="24"/>
                <w:lang w:eastAsia="en-US"/>
              </w:rPr>
              <w:t xml:space="preserve">                    </w:t>
            </w:r>
          </w:p>
          <w:p w14:paraId="007EE77B" w14:textId="2BD05BF5" w:rsidR="00DE32EC" w:rsidRPr="00DC1567" w:rsidRDefault="001A682B" w:rsidP="0000398B">
            <w:pPr>
              <w:spacing w:beforeLines="60" w:before="144" w:afterLines="100" w:after="240"/>
              <w:rPr>
                <w:rFonts w:ascii="Times New Roman" w:eastAsiaTheme="majorEastAsia" w:hAnsi="Times New Roman" w:cs="Times New Roman"/>
                <w:noProof w:val="0"/>
                <w:color w:val="000000" w:themeColor="text1"/>
                <w:sz w:val="24"/>
                <w:szCs w:val="24"/>
              </w:rPr>
            </w:pPr>
            <w:r w:rsidRPr="00DC1567">
              <w:rPr>
                <w:rFonts w:ascii="Times New Roman" w:eastAsiaTheme="majorEastAsia" w:hAnsi="Times New Roman" w:cs="Times New Roman"/>
                <w:noProof w:val="0"/>
                <w:color w:val="000000" w:themeColor="text1"/>
                <w:sz w:val="24"/>
                <w:szCs w:val="24"/>
              </w:rPr>
              <w:t>Proiectul de act normativ nu se referă la acest subiect</w:t>
            </w:r>
          </w:p>
        </w:tc>
      </w:tr>
      <w:tr w:rsidR="0094694D" w:rsidRPr="00DC1567" w14:paraId="48AB5BE9" w14:textId="77777777" w:rsidTr="00B92AAB">
        <w:tc>
          <w:tcPr>
            <w:tcW w:w="9753" w:type="dxa"/>
            <w:gridSpan w:val="7"/>
          </w:tcPr>
          <w:p w14:paraId="4DF3493C" w14:textId="79B39631" w:rsidR="00BB619F" w:rsidRPr="00DC1567" w:rsidRDefault="00BB619F" w:rsidP="0000398B">
            <w:pPr>
              <w:spacing w:beforeLines="60" w:before="144" w:afterLines="100" w:after="240"/>
              <w:jc w:val="center"/>
              <w:rPr>
                <w:rFonts w:ascii="Times New Roman" w:eastAsiaTheme="majorEastAsia" w:hAnsi="Times New Roman" w:cs="Times New Roman"/>
                <w:b/>
                <w:noProof w:val="0"/>
                <w:color w:val="000000" w:themeColor="text1"/>
                <w:sz w:val="24"/>
                <w:szCs w:val="24"/>
              </w:rPr>
            </w:pPr>
            <w:r w:rsidRPr="00DC1567">
              <w:rPr>
                <w:rFonts w:ascii="Times New Roman" w:eastAsiaTheme="majorEastAsia" w:hAnsi="Times New Roman" w:cs="Times New Roman"/>
                <w:b/>
                <w:noProof w:val="0"/>
                <w:color w:val="000000" w:themeColor="text1"/>
                <w:sz w:val="24"/>
                <w:szCs w:val="24"/>
              </w:rPr>
              <w:t>Secțiunea a 8-a:</w:t>
            </w:r>
          </w:p>
          <w:p w14:paraId="31BD5D26" w14:textId="3728412B" w:rsidR="00BB619F" w:rsidRPr="00DC1567" w:rsidRDefault="00BB619F" w:rsidP="0000398B">
            <w:pPr>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Măsuri privind implementarea, monitorizarea și evaluarea</w:t>
            </w:r>
            <w:r w:rsidRPr="00DC1567">
              <w:rPr>
                <w:rFonts w:ascii="Times New Roman" w:hAnsi="Times New Roman" w:cs="Times New Roman"/>
                <w:b/>
                <w:noProof w:val="0"/>
                <w:color w:val="000000" w:themeColor="text1"/>
                <w:sz w:val="24"/>
                <w:szCs w:val="24"/>
              </w:rPr>
              <w:t xml:space="preserve"> </w:t>
            </w:r>
            <w:r w:rsidRPr="00DC1567">
              <w:rPr>
                <w:rFonts w:ascii="Times New Roman" w:eastAsiaTheme="majorEastAsia" w:hAnsi="Times New Roman" w:cs="Times New Roman"/>
                <w:b/>
                <w:noProof w:val="0"/>
                <w:color w:val="000000" w:themeColor="text1"/>
                <w:sz w:val="24"/>
                <w:szCs w:val="24"/>
                <w:lang w:eastAsia="en-US"/>
              </w:rPr>
              <w:t>proiectului de act normativ</w:t>
            </w:r>
          </w:p>
        </w:tc>
      </w:tr>
      <w:tr w:rsidR="0094694D" w:rsidRPr="00DC1567" w14:paraId="5B902EA4" w14:textId="77777777" w:rsidTr="00B92AAB">
        <w:tc>
          <w:tcPr>
            <w:tcW w:w="9753" w:type="dxa"/>
            <w:gridSpan w:val="7"/>
          </w:tcPr>
          <w:p w14:paraId="2739946B" w14:textId="4C91E28C" w:rsidR="002033AA" w:rsidRDefault="00BB619F" w:rsidP="0000398B">
            <w:pPr>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eastAsiaTheme="majorEastAsia" w:hAnsi="Times New Roman" w:cs="Times New Roman"/>
                <w:noProof w:val="0"/>
                <w:color w:val="000000" w:themeColor="text1"/>
                <w:sz w:val="24"/>
                <w:szCs w:val="24"/>
                <w:lang w:eastAsia="en-US"/>
              </w:rPr>
              <w:t>8.1</w:t>
            </w:r>
            <w:r w:rsidR="004B608B">
              <w:rPr>
                <w:rFonts w:ascii="Times New Roman" w:eastAsiaTheme="majorEastAsia" w:hAnsi="Times New Roman" w:cs="Times New Roman"/>
                <w:noProof w:val="0"/>
                <w:color w:val="000000" w:themeColor="text1"/>
                <w:sz w:val="24"/>
                <w:szCs w:val="24"/>
                <w:lang w:eastAsia="en-US"/>
              </w:rPr>
              <w:t xml:space="preserve">. </w:t>
            </w:r>
            <w:r w:rsidRPr="00DC1567">
              <w:rPr>
                <w:rFonts w:ascii="Times New Roman" w:eastAsiaTheme="majorEastAsia" w:hAnsi="Times New Roman" w:cs="Times New Roman"/>
                <w:noProof w:val="0"/>
                <w:color w:val="000000" w:themeColor="text1"/>
                <w:sz w:val="24"/>
                <w:szCs w:val="24"/>
                <w:lang w:eastAsia="en-US"/>
              </w:rPr>
              <w:t xml:space="preserve"> </w:t>
            </w:r>
            <w:r w:rsidR="004B608B" w:rsidRPr="004B608B">
              <w:rPr>
                <w:rFonts w:ascii="Times New Roman" w:eastAsiaTheme="majorEastAsia" w:hAnsi="Times New Roman" w:cs="Times New Roman"/>
                <w:noProof w:val="0"/>
                <w:color w:val="000000" w:themeColor="text1"/>
                <w:sz w:val="24"/>
                <w:szCs w:val="24"/>
                <w:lang w:eastAsia="en-US"/>
              </w:rPr>
              <w:t>Măsurile de punere în aplicare a proiectului de act normativ</w:t>
            </w:r>
          </w:p>
          <w:p w14:paraId="0AA0F2D3" w14:textId="7B7DD9A3" w:rsidR="004B608B" w:rsidRPr="00DC1567" w:rsidRDefault="003817F7" w:rsidP="0000398B">
            <w:pPr>
              <w:spacing w:beforeLines="60" w:before="144" w:afterLines="100" w:after="240"/>
              <w:jc w:val="both"/>
              <w:rPr>
                <w:rFonts w:ascii="Times New Roman" w:hAnsi="Times New Roman" w:cs="Times New Roman"/>
                <w:noProof w:val="0"/>
                <w:color w:val="000000" w:themeColor="text1"/>
                <w:sz w:val="24"/>
                <w:szCs w:val="24"/>
              </w:rPr>
            </w:pPr>
            <w:r>
              <w:rPr>
                <w:rFonts w:ascii="Times New Roman" w:hAnsi="Times New Roman" w:cs="Times New Roman"/>
                <w:noProof w:val="0"/>
                <w:color w:val="000000" w:themeColor="text1"/>
                <w:sz w:val="24"/>
                <w:szCs w:val="24"/>
              </w:rPr>
              <w:t xml:space="preserve">Emiterea unui </w:t>
            </w:r>
            <w:r w:rsidR="004B608B" w:rsidRPr="004B608B">
              <w:rPr>
                <w:rFonts w:ascii="Times New Roman" w:hAnsi="Times New Roman" w:cs="Times New Roman"/>
                <w:noProof w:val="0"/>
                <w:color w:val="000000" w:themeColor="text1"/>
                <w:sz w:val="24"/>
                <w:szCs w:val="24"/>
              </w:rPr>
              <w:t>ordin al Ministrului Energiei și al președintelui Autorității Naționale de Reglementare în domeniul Energiei</w:t>
            </w:r>
            <w:r>
              <w:rPr>
                <w:rFonts w:ascii="Times New Roman" w:hAnsi="Times New Roman" w:cs="Times New Roman"/>
                <w:noProof w:val="0"/>
                <w:color w:val="000000" w:themeColor="text1"/>
                <w:sz w:val="24"/>
                <w:szCs w:val="24"/>
              </w:rPr>
              <w:t xml:space="preserve"> pentru stabilirea condițiilor pentru virarea în bugetul Ministerului Energiei a sumelor rezultate din aplicarea prezentului act normativ.</w:t>
            </w:r>
          </w:p>
        </w:tc>
      </w:tr>
      <w:tr w:rsidR="0094694D" w:rsidRPr="00DC1567" w14:paraId="1882CBC0" w14:textId="77777777" w:rsidTr="00B92AAB">
        <w:tc>
          <w:tcPr>
            <w:tcW w:w="9753" w:type="dxa"/>
            <w:gridSpan w:val="7"/>
          </w:tcPr>
          <w:p w14:paraId="6E4E2791" w14:textId="77777777" w:rsidR="007B14D5" w:rsidRPr="00DC1567" w:rsidRDefault="00BB619F" w:rsidP="0000398B">
            <w:pPr>
              <w:spacing w:beforeLines="60" w:before="144" w:afterLines="100" w:after="240"/>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8.2 Alte informații</w:t>
            </w:r>
            <w:r w:rsidRPr="00DC1567">
              <w:rPr>
                <w:rFonts w:ascii="Times New Roman" w:eastAsiaTheme="majorEastAsia" w:hAnsi="Times New Roman" w:cs="Times New Roman"/>
                <w:b/>
                <w:noProof w:val="0"/>
                <w:color w:val="000000" w:themeColor="text1"/>
                <w:sz w:val="24"/>
                <w:szCs w:val="24"/>
                <w:lang w:eastAsia="en-US"/>
              </w:rPr>
              <w:t xml:space="preserve"> </w:t>
            </w:r>
          </w:p>
          <w:p w14:paraId="2E94AB77" w14:textId="5B65D449" w:rsidR="002033AA" w:rsidRPr="00DC1567" w:rsidRDefault="001A682B" w:rsidP="0000398B">
            <w:pPr>
              <w:spacing w:beforeLines="60" w:before="144" w:afterLines="100" w:after="240"/>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Cs/>
                <w:noProof w:val="0"/>
                <w:color w:val="000000" w:themeColor="text1"/>
                <w:sz w:val="24"/>
                <w:szCs w:val="24"/>
                <w:lang w:eastAsia="en-US"/>
              </w:rPr>
              <w:t>Proiectul de act normativ nu se referă la acest subiect</w:t>
            </w:r>
            <w:r w:rsidR="00BB619F" w:rsidRPr="00DC1567">
              <w:rPr>
                <w:rFonts w:ascii="Times New Roman" w:eastAsiaTheme="majorEastAsia" w:hAnsi="Times New Roman" w:cs="Times New Roman"/>
                <w:b/>
                <w:noProof w:val="0"/>
                <w:color w:val="000000" w:themeColor="text1"/>
                <w:sz w:val="24"/>
                <w:szCs w:val="24"/>
                <w:lang w:eastAsia="en-US"/>
              </w:rPr>
              <w:t xml:space="preserve">    </w:t>
            </w:r>
          </w:p>
        </w:tc>
      </w:tr>
    </w:tbl>
    <w:p w14:paraId="2A61D75B" w14:textId="5A1BF792" w:rsidR="00F40AD5" w:rsidRPr="00DC1567" w:rsidRDefault="00081AE8" w:rsidP="0000398B">
      <w:pPr>
        <w:spacing w:beforeLines="60" w:before="144" w:afterLines="100" w:after="240"/>
        <w:jc w:val="both"/>
        <w:rPr>
          <w:rFonts w:ascii="Times New Roman" w:eastAsiaTheme="majorEastAsia" w:hAnsi="Times New Roman" w:cs="Times New Roman"/>
          <w:noProof w:val="0"/>
          <w:color w:val="000000" w:themeColor="text1"/>
          <w:sz w:val="24"/>
          <w:szCs w:val="24"/>
        </w:rPr>
      </w:pPr>
      <w:r w:rsidRPr="00DC1567">
        <w:rPr>
          <w:rFonts w:ascii="Times New Roman" w:eastAsiaTheme="majorEastAsia" w:hAnsi="Times New Roman" w:cs="Times New Roman"/>
          <w:noProof w:val="0"/>
          <w:color w:val="000000" w:themeColor="text1"/>
          <w:sz w:val="24"/>
          <w:szCs w:val="24"/>
        </w:rPr>
        <w:t>Având în vedere cele prezentate, în temeiul art. 115 alin. (4) din Constituție, republicată, a fost elaborat proiectul de</w:t>
      </w:r>
      <w:r w:rsidRPr="00DC1567">
        <w:rPr>
          <w:rFonts w:ascii="Times New Roman" w:eastAsiaTheme="majorEastAsia" w:hAnsi="Times New Roman" w:cs="Times New Roman"/>
          <w:b/>
          <w:noProof w:val="0"/>
          <w:color w:val="000000" w:themeColor="text1"/>
          <w:sz w:val="24"/>
          <w:szCs w:val="24"/>
        </w:rPr>
        <w:t xml:space="preserve"> </w:t>
      </w:r>
      <w:r w:rsidRPr="00DC1567">
        <w:rPr>
          <w:rFonts w:ascii="Times New Roman" w:eastAsiaTheme="majorEastAsia" w:hAnsi="Times New Roman" w:cs="Times New Roman"/>
          <w:bCs/>
          <w:noProof w:val="0"/>
          <w:color w:val="000000" w:themeColor="text1"/>
          <w:sz w:val="24"/>
          <w:szCs w:val="24"/>
        </w:rPr>
        <w:t>Ordonanță de urgență a Guvernului</w:t>
      </w:r>
      <w:r w:rsidRPr="00DC1567">
        <w:rPr>
          <w:rFonts w:ascii="Times New Roman" w:eastAsiaTheme="majorEastAsia" w:hAnsi="Times New Roman" w:cs="Times New Roman"/>
          <w:b/>
          <w:noProof w:val="0"/>
          <w:color w:val="000000" w:themeColor="text1"/>
          <w:sz w:val="24"/>
          <w:szCs w:val="24"/>
        </w:rPr>
        <w:t xml:space="preserve"> </w:t>
      </w:r>
      <w:r w:rsidR="00DC1567" w:rsidRPr="00DC1567">
        <w:rPr>
          <w:rFonts w:ascii="Times New Roman" w:eastAsiaTheme="majorEastAsia" w:hAnsi="Times New Roman" w:cs="Times New Roman"/>
          <w:bCs/>
          <w:i/>
          <w:iCs/>
          <w:noProof w:val="0"/>
          <w:color w:val="000000" w:themeColor="text1"/>
          <w:sz w:val="24"/>
          <w:szCs w:val="24"/>
        </w:rPr>
        <w:t>privind instituirea unui mecanism temporar de limitare a adaosului comercial aplicat energiei electrice</w:t>
      </w:r>
      <w:r w:rsidR="0000398B">
        <w:rPr>
          <w:rFonts w:ascii="Times New Roman" w:eastAsiaTheme="majorEastAsia" w:hAnsi="Times New Roman" w:cs="Times New Roman"/>
          <w:bCs/>
          <w:i/>
          <w:iCs/>
          <w:noProof w:val="0"/>
          <w:color w:val="000000" w:themeColor="text1"/>
          <w:sz w:val="24"/>
          <w:szCs w:val="24"/>
        </w:rPr>
        <w:t xml:space="preserve"> și gazelor naturale</w:t>
      </w:r>
    </w:p>
    <w:p w14:paraId="778EEE6E" w14:textId="77777777" w:rsidR="00F62E63" w:rsidRPr="00DC1567" w:rsidRDefault="00F62E63" w:rsidP="0000398B">
      <w:pPr>
        <w:spacing w:beforeLines="60" w:before="144" w:afterLines="100" w:after="240"/>
        <w:jc w:val="both"/>
        <w:rPr>
          <w:rFonts w:ascii="Times New Roman" w:eastAsiaTheme="majorEastAsia" w:hAnsi="Times New Roman" w:cs="Times New Roman"/>
          <w:noProof w:val="0"/>
          <w:color w:val="000000" w:themeColor="text1"/>
          <w:sz w:val="24"/>
          <w:szCs w:val="24"/>
        </w:rPr>
      </w:pPr>
    </w:p>
    <w:p w14:paraId="4105EAC3" w14:textId="77777777" w:rsidR="00D84203" w:rsidRPr="00DC1567" w:rsidRDefault="00D84203" w:rsidP="0000398B">
      <w:pPr>
        <w:spacing w:beforeLines="60" w:before="144" w:afterLines="100" w:after="240" w:line="240" w:lineRule="auto"/>
        <w:jc w:val="center"/>
        <w:rPr>
          <w:rFonts w:ascii="Times New Roman" w:eastAsia="Malgun Gothic" w:hAnsi="Times New Roman" w:cs="Times New Roman"/>
          <w:b/>
          <w:bCs/>
          <w:noProof w:val="0"/>
          <w:color w:val="000000" w:themeColor="text1"/>
          <w:sz w:val="24"/>
          <w:szCs w:val="24"/>
        </w:rPr>
      </w:pPr>
      <w:r w:rsidRPr="00DC1567">
        <w:rPr>
          <w:rFonts w:ascii="Times New Roman" w:eastAsia="Malgun Gothic" w:hAnsi="Times New Roman" w:cs="Times New Roman"/>
          <w:b/>
          <w:bCs/>
          <w:noProof w:val="0"/>
          <w:color w:val="000000" w:themeColor="text1"/>
          <w:sz w:val="24"/>
          <w:szCs w:val="24"/>
        </w:rPr>
        <w:t>MINISTRUL ENERGIEI</w:t>
      </w:r>
    </w:p>
    <w:p w14:paraId="1B0C1DE6" w14:textId="77777777" w:rsidR="00D84203" w:rsidRDefault="00D84203" w:rsidP="0000398B">
      <w:pPr>
        <w:spacing w:beforeLines="60" w:before="144" w:afterLines="100" w:after="240" w:line="240" w:lineRule="auto"/>
        <w:jc w:val="center"/>
        <w:rPr>
          <w:rFonts w:ascii="Times New Roman" w:eastAsia="Malgun Gothic" w:hAnsi="Times New Roman" w:cs="Times New Roman"/>
          <w:b/>
          <w:bCs/>
          <w:noProof w:val="0"/>
          <w:color w:val="000000" w:themeColor="text1"/>
          <w:sz w:val="24"/>
          <w:szCs w:val="24"/>
        </w:rPr>
      </w:pPr>
      <w:r w:rsidRPr="00DC1567">
        <w:rPr>
          <w:rFonts w:ascii="Times New Roman" w:eastAsia="Malgun Gothic" w:hAnsi="Times New Roman" w:cs="Times New Roman"/>
          <w:b/>
          <w:bCs/>
          <w:noProof w:val="0"/>
          <w:color w:val="000000" w:themeColor="text1"/>
          <w:sz w:val="24"/>
          <w:szCs w:val="24"/>
        </w:rPr>
        <w:t>Bogdan–Gruia IVAN</w:t>
      </w:r>
    </w:p>
    <w:p w14:paraId="75F95B6C" w14:textId="77777777" w:rsidR="00DC1567" w:rsidRPr="00DC1567" w:rsidRDefault="00DC1567" w:rsidP="0000398B">
      <w:pPr>
        <w:spacing w:beforeLines="60" w:before="144" w:afterLines="100" w:after="240" w:line="240" w:lineRule="auto"/>
        <w:jc w:val="center"/>
        <w:rPr>
          <w:rFonts w:ascii="Times New Roman" w:eastAsia="Malgun Gothic" w:hAnsi="Times New Roman" w:cs="Times New Roman"/>
          <w:b/>
          <w:bCs/>
          <w:noProof w:val="0"/>
          <w:color w:val="000000" w:themeColor="text1"/>
          <w:sz w:val="24"/>
          <w:szCs w:val="24"/>
        </w:rPr>
      </w:pPr>
    </w:p>
    <w:p w14:paraId="4D3C200B" w14:textId="77777777" w:rsidR="00D84203" w:rsidRPr="00DC1567" w:rsidRDefault="00D84203" w:rsidP="0000398B">
      <w:pPr>
        <w:spacing w:beforeLines="60" w:before="144" w:afterLines="100" w:after="240" w:line="240" w:lineRule="auto"/>
        <w:jc w:val="center"/>
        <w:rPr>
          <w:rFonts w:ascii="Times New Roman" w:eastAsia="Malgun Gothic" w:hAnsi="Times New Roman" w:cs="Times New Roman"/>
          <w:noProof w:val="0"/>
          <w:color w:val="000000" w:themeColor="text1"/>
          <w:sz w:val="24"/>
          <w:szCs w:val="24"/>
          <w:u w:val="single"/>
        </w:rPr>
      </w:pPr>
      <w:r w:rsidRPr="00DC1567">
        <w:rPr>
          <w:rFonts w:ascii="Times New Roman" w:eastAsia="Malgun Gothic" w:hAnsi="Times New Roman" w:cs="Times New Roman"/>
          <w:i/>
          <w:iCs/>
          <w:noProof w:val="0"/>
          <w:color w:val="000000" w:themeColor="text1"/>
          <w:sz w:val="24"/>
          <w:szCs w:val="24"/>
          <w:u w:val="single"/>
        </w:rPr>
        <w:t>Avizăm favorabil</w:t>
      </w:r>
      <w:r w:rsidRPr="00DC1567">
        <w:rPr>
          <w:rFonts w:ascii="Times New Roman" w:eastAsia="Malgun Gothic" w:hAnsi="Times New Roman" w:cs="Times New Roman"/>
          <w:noProof w:val="0"/>
          <w:color w:val="000000" w:themeColor="text1"/>
          <w:sz w:val="24"/>
          <w:szCs w:val="24"/>
          <w:u w:val="single"/>
        </w:rPr>
        <w:t>,</w:t>
      </w:r>
    </w:p>
    <w:p w14:paraId="64A9B9F7" w14:textId="77777777" w:rsidR="00DC1567" w:rsidRPr="00DC1567" w:rsidRDefault="00DC1567" w:rsidP="0000398B">
      <w:pPr>
        <w:spacing w:beforeLines="60" w:before="144" w:afterLines="100" w:after="240" w:line="240" w:lineRule="auto"/>
        <w:jc w:val="center"/>
        <w:rPr>
          <w:rFonts w:ascii="Times New Roman" w:eastAsia="Malgun Gothic" w:hAnsi="Times New Roman" w:cs="Times New Roman"/>
          <w:noProof w:val="0"/>
          <w:color w:val="000000" w:themeColor="text1"/>
          <w:sz w:val="24"/>
          <w:szCs w:val="24"/>
          <w:u w:val="single"/>
        </w:rPr>
      </w:pPr>
    </w:p>
    <w:tbl>
      <w:tblPr>
        <w:tblStyle w:val="Tabelgril"/>
        <w:tblpPr w:leftFromText="180" w:rightFromText="180" w:vertAnchor="text" w:horzAnchor="margin" w:tblpXSpec="center" w:tblpY="8"/>
        <w:tblW w:w="11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4"/>
        <w:gridCol w:w="5497"/>
      </w:tblGrid>
      <w:tr w:rsidR="00D84203" w:rsidRPr="00DC1567" w14:paraId="2A2CC050" w14:textId="77777777" w:rsidTr="00D11CBB">
        <w:trPr>
          <w:trHeight w:val="321"/>
        </w:trPr>
        <w:tc>
          <w:tcPr>
            <w:tcW w:w="5794" w:type="dxa"/>
          </w:tcPr>
          <w:p w14:paraId="7D8AAD23" w14:textId="35903801" w:rsidR="00D84203" w:rsidRPr="00DC1567" w:rsidRDefault="00D84203" w:rsidP="0000398B">
            <w:pPr>
              <w:spacing w:beforeLines="60" w:before="144" w:afterLines="100" w:after="240"/>
              <w:jc w:val="center"/>
              <w:rPr>
                <w:rFonts w:ascii="Times New Roman" w:eastAsia="Malgun Gothic" w:hAnsi="Times New Roman" w:cs="Times New Roman"/>
                <w:b/>
                <w:bCs/>
                <w:noProof w:val="0"/>
                <w:color w:val="000000" w:themeColor="text1"/>
                <w:sz w:val="24"/>
                <w:szCs w:val="24"/>
              </w:rPr>
            </w:pPr>
            <w:r w:rsidRPr="00DC1567">
              <w:rPr>
                <w:rFonts w:ascii="Times New Roman" w:eastAsia="Malgun Gothic" w:hAnsi="Times New Roman" w:cs="Times New Roman"/>
                <w:b/>
                <w:bCs/>
                <w:noProof w:val="0"/>
                <w:color w:val="000000" w:themeColor="text1"/>
                <w:sz w:val="24"/>
                <w:szCs w:val="24"/>
              </w:rPr>
              <w:t>VICEPRIM – MINISTRU</w:t>
            </w:r>
          </w:p>
        </w:tc>
        <w:tc>
          <w:tcPr>
            <w:tcW w:w="5497" w:type="dxa"/>
          </w:tcPr>
          <w:p w14:paraId="4C210795" w14:textId="6F29E702" w:rsidR="00D84203" w:rsidRPr="00DC1567" w:rsidRDefault="00D84203" w:rsidP="0000398B">
            <w:pPr>
              <w:spacing w:beforeLines="60" w:before="144" w:afterLines="100" w:after="240"/>
              <w:jc w:val="center"/>
              <w:rPr>
                <w:rFonts w:ascii="Times New Roman" w:eastAsia="Malgun Gothic" w:hAnsi="Times New Roman" w:cs="Times New Roman"/>
                <w:b/>
                <w:bCs/>
                <w:noProof w:val="0"/>
                <w:color w:val="000000" w:themeColor="text1"/>
                <w:sz w:val="24"/>
                <w:szCs w:val="24"/>
              </w:rPr>
            </w:pPr>
            <w:r w:rsidRPr="00DC1567">
              <w:rPr>
                <w:rFonts w:ascii="Times New Roman" w:eastAsia="Malgun Gothic" w:hAnsi="Times New Roman" w:cs="Times New Roman"/>
                <w:b/>
                <w:bCs/>
                <w:noProof w:val="0"/>
                <w:color w:val="000000" w:themeColor="text1"/>
                <w:sz w:val="24"/>
                <w:szCs w:val="24"/>
              </w:rPr>
              <w:t>MINISTRUL FINANȚELOR</w:t>
            </w:r>
          </w:p>
        </w:tc>
      </w:tr>
      <w:tr w:rsidR="00D84203" w:rsidRPr="00DC1567" w14:paraId="712D4C50" w14:textId="77777777" w:rsidTr="00D11CBB">
        <w:trPr>
          <w:trHeight w:val="321"/>
        </w:trPr>
        <w:tc>
          <w:tcPr>
            <w:tcW w:w="5794" w:type="dxa"/>
          </w:tcPr>
          <w:p w14:paraId="11DA8718" w14:textId="77777777" w:rsidR="00D84203" w:rsidRPr="00DC1567" w:rsidRDefault="00D84203" w:rsidP="0000398B">
            <w:pPr>
              <w:spacing w:beforeLines="60" w:before="144" w:afterLines="100" w:after="240"/>
              <w:jc w:val="center"/>
              <w:rPr>
                <w:rFonts w:ascii="Times New Roman" w:eastAsia="Malgun Gothic" w:hAnsi="Times New Roman" w:cs="Times New Roman"/>
                <w:b/>
                <w:bCs/>
                <w:noProof w:val="0"/>
                <w:color w:val="000000" w:themeColor="text1"/>
                <w:sz w:val="24"/>
                <w:szCs w:val="24"/>
              </w:rPr>
            </w:pPr>
            <w:r w:rsidRPr="00DC1567">
              <w:rPr>
                <w:rFonts w:ascii="Times New Roman" w:eastAsia="Malgun Gothic" w:hAnsi="Times New Roman" w:cs="Times New Roman"/>
                <w:b/>
                <w:bCs/>
                <w:noProof w:val="0"/>
                <w:color w:val="000000" w:themeColor="text1"/>
                <w:sz w:val="24"/>
                <w:szCs w:val="24"/>
              </w:rPr>
              <w:t>Marian NEACȘU</w:t>
            </w:r>
          </w:p>
        </w:tc>
        <w:tc>
          <w:tcPr>
            <w:tcW w:w="5497" w:type="dxa"/>
          </w:tcPr>
          <w:p w14:paraId="077D68E2" w14:textId="61A81297" w:rsidR="00D84203" w:rsidRPr="00DC1567" w:rsidRDefault="00D84203" w:rsidP="0000398B">
            <w:pPr>
              <w:spacing w:beforeLines="60" w:before="144" w:afterLines="100" w:after="240"/>
              <w:jc w:val="center"/>
              <w:rPr>
                <w:rFonts w:ascii="Times New Roman" w:eastAsia="Malgun Gothic" w:hAnsi="Times New Roman" w:cs="Times New Roman"/>
                <w:b/>
                <w:bCs/>
                <w:noProof w:val="0"/>
                <w:color w:val="000000" w:themeColor="text1"/>
                <w:sz w:val="24"/>
                <w:szCs w:val="24"/>
              </w:rPr>
            </w:pPr>
            <w:r w:rsidRPr="00DC1567">
              <w:rPr>
                <w:rFonts w:ascii="Times New Roman" w:eastAsia="Malgun Gothic" w:hAnsi="Times New Roman" w:cs="Times New Roman"/>
                <w:b/>
                <w:bCs/>
                <w:noProof w:val="0"/>
                <w:color w:val="000000" w:themeColor="text1"/>
                <w:sz w:val="24"/>
                <w:szCs w:val="24"/>
              </w:rPr>
              <w:t>Alexandru NAZARE</w:t>
            </w:r>
          </w:p>
        </w:tc>
      </w:tr>
      <w:tr w:rsidR="00D84203" w:rsidRPr="00DC1567" w14:paraId="7C815401" w14:textId="77777777" w:rsidTr="00D11CBB">
        <w:trPr>
          <w:trHeight w:val="350"/>
        </w:trPr>
        <w:tc>
          <w:tcPr>
            <w:tcW w:w="5794" w:type="dxa"/>
          </w:tcPr>
          <w:p w14:paraId="7AF95DF9" w14:textId="3F951A63" w:rsidR="00D84203" w:rsidRPr="00DC1567" w:rsidRDefault="00D84203" w:rsidP="0000398B">
            <w:pPr>
              <w:spacing w:beforeLines="60" w:before="144" w:afterLines="100" w:after="240"/>
              <w:jc w:val="center"/>
              <w:rPr>
                <w:rFonts w:ascii="Times New Roman" w:eastAsia="Malgun Gothic" w:hAnsi="Times New Roman" w:cs="Times New Roman"/>
                <w:b/>
                <w:bCs/>
                <w:noProof w:val="0"/>
                <w:color w:val="000000" w:themeColor="text1"/>
                <w:sz w:val="24"/>
                <w:szCs w:val="24"/>
              </w:rPr>
            </w:pPr>
          </w:p>
        </w:tc>
        <w:tc>
          <w:tcPr>
            <w:tcW w:w="5497" w:type="dxa"/>
          </w:tcPr>
          <w:p w14:paraId="4B970AAC" w14:textId="122F6728" w:rsidR="00D84203" w:rsidRPr="00DC1567" w:rsidRDefault="00D84203" w:rsidP="0000398B">
            <w:pPr>
              <w:spacing w:beforeLines="60" w:before="144" w:afterLines="100" w:after="240" w:line="259" w:lineRule="auto"/>
              <w:jc w:val="center"/>
              <w:rPr>
                <w:rFonts w:ascii="Times New Roman" w:eastAsia="Malgun Gothic" w:hAnsi="Times New Roman" w:cs="Times New Roman"/>
                <w:b/>
                <w:bCs/>
                <w:noProof w:val="0"/>
                <w:color w:val="000000" w:themeColor="text1"/>
                <w:sz w:val="24"/>
                <w:szCs w:val="24"/>
              </w:rPr>
            </w:pPr>
          </w:p>
        </w:tc>
      </w:tr>
    </w:tbl>
    <w:p w14:paraId="19FB1A35" w14:textId="77777777" w:rsidR="004F29FF" w:rsidRDefault="004F29FF" w:rsidP="0000398B">
      <w:pPr>
        <w:spacing w:beforeLines="60" w:before="144" w:afterLines="100" w:after="240"/>
        <w:jc w:val="center"/>
        <w:rPr>
          <w:rFonts w:ascii="Times New Roman" w:eastAsia="Malgun Gothic" w:hAnsi="Times New Roman" w:cs="Times New Roman"/>
          <w:b/>
          <w:bCs/>
          <w:color w:val="000000" w:themeColor="text1"/>
          <w:sz w:val="24"/>
          <w:szCs w:val="24"/>
        </w:rPr>
      </w:pPr>
    </w:p>
    <w:p w14:paraId="447193D8" w14:textId="48DD90D7" w:rsidR="00DC1567" w:rsidRDefault="00DC1567" w:rsidP="0000398B">
      <w:pPr>
        <w:spacing w:beforeLines="60" w:before="144" w:afterLines="100" w:after="240"/>
        <w:jc w:val="center"/>
        <w:rPr>
          <w:rFonts w:ascii="Times New Roman" w:eastAsia="Malgun Gothic" w:hAnsi="Times New Roman" w:cs="Times New Roman"/>
          <w:b/>
          <w:bCs/>
          <w:color w:val="000000" w:themeColor="text1"/>
          <w:sz w:val="24"/>
          <w:szCs w:val="24"/>
        </w:rPr>
      </w:pPr>
      <w:r>
        <w:rPr>
          <w:rFonts w:ascii="Times New Roman" w:eastAsia="Malgun Gothic" w:hAnsi="Times New Roman" w:cs="Times New Roman"/>
          <w:b/>
          <w:bCs/>
          <w:color w:val="000000" w:themeColor="text1"/>
          <w:sz w:val="24"/>
          <w:szCs w:val="24"/>
        </w:rPr>
        <w:t>MINISTRUL JUSTIȚIEI</w:t>
      </w:r>
    </w:p>
    <w:p w14:paraId="65BB02CE" w14:textId="1A9490E7" w:rsidR="008F08DC" w:rsidRDefault="00DC1567" w:rsidP="0000398B">
      <w:pPr>
        <w:spacing w:beforeLines="60" w:before="144" w:afterLines="100" w:after="240"/>
        <w:jc w:val="center"/>
        <w:rPr>
          <w:rFonts w:ascii="Times New Roman" w:eastAsia="Malgun Gothic" w:hAnsi="Times New Roman" w:cs="Times New Roman"/>
          <w:b/>
          <w:bCs/>
          <w:color w:val="000000" w:themeColor="text1"/>
          <w:sz w:val="24"/>
          <w:szCs w:val="24"/>
        </w:rPr>
      </w:pPr>
      <w:r>
        <w:rPr>
          <w:rFonts w:ascii="Times New Roman" w:eastAsia="Malgun Gothic" w:hAnsi="Times New Roman" w:cs="Times New Roman"/>
          <w:b/>
          <w:bCs/>
          <w:color w:val="000000" w:themeColor="text1"/>
          <w:sz w:val="24"/>
          <w:szCs w:val="24"/>
        </w:rPr>
        <w:t>Radu MARINESCU</w:t>
      </w:r>
    </w:p>
    <w:p w14:paraId="5087AD02" w14:textId="52427CFE" w:rsidR="008F08DC" w:rsidRDefault="008F08DC">
      <w:pPr>
        <w:rPr>
          <w:rFonts w:ascii="Times New Roman" w:eastAsia="Malgun Gothic" w:hAnsi="Times New Roman" w:cs="Times New Roman"/>
          <w:b/>
          <w:bCs/>
          <w:color w:val="000000" w:themeColor="text1"/>
          <w:sz w:val="24"/>
          <w:szCs w:val="24"/>
        </w:rPr>
      </w:pPr>
    </w:p>
    <w:p w14:paraId="18A03D24" w14:textId="77777777" w:rsidR="00E5642B" w:rsidRDefault="00E5642B">
      <w:pPr>
        <w:rPr>
          <w:rFonts w:ascii="Times New Roman" w:eastAsia="Malgun Gothic" w:hAnsi="Times New Roman" w:cs="Times New Roman"/>
          <w:b/>
          <w:bCs/>
          <w:color w:val="000000" w:themeColor="text1"/>
          <w:sz w:val="24"/>
          <w:szCs w:val="24"/>
        </w:rPr>
      </w:pPr>
    </w:p>
    <w:p w14:paraId="465173EE" w14:textId="77777777" w:rsidR="00E5642B" w:rsidRDefault="00E5642B">
      <w:pPr>
        <w:rPr>
          <w:rFonts w:ascii="Times New Roman" w:eastAsia="Malgun Gothic" w:hAnsi="Times New Roman" w:cs="Times New Roman"/>
          <w:b/>
          <w:bCs/>
          <w:color w:val="000000" w:themeColor="text1"/>
          <w:sz w:val="24"/>
          <w:szCs w:val="24"/>
        </w:rPr>
      </w:pPr>
    </w:p>
    <w:p w14:paraId="547B1706" w14:textId="77777777" w:rsidR="00E5642B" w:rsidRDefault="00E5642B">
      <w:pPr>
        <w:rPr>
          <w:rFonts w:ascii="Times New Roman" w:eastAsia="Malgun Gothic" w:hAnsi="Times New Roman" w:cs="Times New Roman"/>
          <w:b/>
          <w:bCs/>
          <w:color w:val="000000" w:themeColor="text1"/>
          <w:sz w:val="24"/>
          <w:szCs w:val="24"/>
        </w:rPr>
      </w:pPr>
    </w:p>
    <w:p w14:paraId="570FA1C8" w14:textId="77777777" w:rsidR="00E5642B" w:rsidRDefault="00E5642B">
      <w:pPr>
        <w:rPr>
          <w:rFonts w:ascii="Times New Roman" w:eastAsia="Malgun Gothic" w:hAnsi="Times New Roman" w:cs="Times New Roman"/>
          <w:b/>
          <w:bCs/>
          <w:color w:val="000000" w:themeColor="text1"/>
          <w:sz w:val="24"/>
          <w:szCs w:val="24"/>
        </w:rPr>
      </w:pPr>
    </w:p>
    <w:p w14:paraId="595888AB" w14:textId="77777777" w:rsidR="00E5642B" w:rsidRDefault="00E5642B">
      <w:pPr>
        <w:rPr>
          <w:rFonts w:ascii="Times New Roman" w:eastAsia="Malgun Gothic" w:hAnsi="Times New Roman" w:cs="Times New Roman"/>
          <w:b/>
          <w:bCs/>
          <w:color w:val="000000" w:themeColor="text1"/>
          <w:sz w:val="24"/>
          <w:szCs w:val="24"/>
        </w:rPr>
      </w:pPr>
    </w:p>
    <w:p w14:paraId="2C370792" w14:textId="77777777" w:rsidR="00E5642B" w:rsidRDefault="00E5642B">
      <w:pPr>
        <w:rPr>
          <w:rFonts w:ascii="Times New Roman" w:eastAsia="Malgun Gothic" w:hAnsi="Times New Roman" w:cs="Times New Roman"/>
          <w:b/>
          <w:bCs/>
          <w:color w:val="000000" w:themeColor="text1"/>
          <w:sz w:val="24"/>
          <w:szCs w:val="24"/>
        </w:rPr>
      </w:pPr>
    </w:p>
    <w:p w14:paraId="2D8A815D" w14:textId="77777777" w:rsidR="00E5642B" w:rsidRDefault="00E5642B">
      <w:pPr>
        <w:rPr>
          <w:rFonts w:ascii="Times New Roman" w:eastAsia="Malgun Gothic" w:hAnsi="Times New Roman" w:cs="Times New Roman"/>
          <w:b/>
          <w:bCs/>
          <w:color w:val="000000" w:themeColor="text1"/>
          <w:sz w:val="24"/>
          <w:szCs w:val="24"/>
        </w:rPr>
      </w:pPr>
    </w:p>
    <w:sectPr w:rsidR="00E5642B" w:rsidSect="00815254">
      <w:footerReference w:type="default" r:id="rId8"/>
      <w:pgSz w:w="11906" w:h="16838"/>
      <w:pgMar w:top="1440" w:right="1440" w:bottom="1440" w:left="1440"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C2E1" w14:textId="77777777" w:rsidR="00236855" w:rsidRPr="006E1C53" w:rsidRDefault="00236855" w:rsidP="00AA7BA4">
      <w:pPr>
        <w:spacing w:after="0" w:line="240" w:lineRule="auto"/>
      </w:pPr>
      <w:r w:rsidRPr="006E1C53">
        <w:separator/>
      </w:r>
    </w:p>
  </w:endnote>
  <w:endnote w:type="continuationSeparator" w:id="0">
    <w:p w14:paraId="75F95057" w14:textId="77777777" w:rsidR="00236855" w:rsidRPr="006E1C53" w:rsidRDefault="00236855" w:rsidP="00AA7BA4">
      <w:pPr>
        <w:spacing w:after="0" w:line="240" w:lineRule="auto"/>
      </w:pPr>
      <w:r w:rsidRPr="006E1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269190"/>
      <w:docPartObj>
        <w:docPartGallery w:val="Page Numbers (Bottom of Page)"/>
        <w:docPartUnique/>
      </w:docPartObj>
    </w:sdtPr>
    <w:sdtContent>
      <w:sdt>
        <w:sdtPr>
          <w:id w:val="1728636285"/>
          <w:docPartObj>
            <w:docPartGallery w:val="Page Numbers (Top of Page)"/>
            <w:docPartUnique/>
          </w:docPartObj>
        </w:sdtPr>
        <w:sdtContent>
          <w:p w14:paraId="0AAC6B28" w14:textId="568725B0" w:rsidR="00080A2B" w:rsidRPr="006E1C53" w:rsidRDefault="00080A2B">
            <w:pPr>
              <w:pStyle w:val="Subsol"/>
              <w:jc w:val="center"/>
            </w:pPr>
            <w:r w:rsidRPr="006E1C53">
              <w:t xml:space="preserve">Pagina </w:t>
            </w:r>
            <w:r w:rsidRPr="006E1C53">
              <w:rPr>
                <w:b/>
                <w:bCs/>
                <w:sz w:val="24"/>
                <w:szCs w:val="24"/>
              </w:rPr>
              <w:fldChar w:fldCharType="begin"/>
            </w:r>
            <w:r w:rsidRPr="006E1C53">
              <w:rPr>
                <w:b/>
                <w:bCs/>
              </w:rPr>
              <w:instrText xml:space="preserve"> PAGE </w:instrText>
            </w:r>
            <w:r w:rsidRPr="006E1C53">
              <w:rPr>
                <w:b/>
                <w:bCs/>
                <w:sz w:val="24"/>
                <w:szCs w:val="24"/>
              </w:rPr>
              <w:fldChar w:fldCharType="separate"/>
            </w:r>
            <w:r w:rsidRPr="006E1C53">
              <w:rPr>
                <w:b/>
                <w:bCs/>
              </w:rPr>
              <w:t>2</w:t>
            </w:r>
            <w:r w:rsidRPr="006E1C53">
              <w:rPr>
                <w:b/>
                <w:bCs/>
                <w:sz w:val="24"/>
                <w:szCs w:val="24"/>
              </w:rPr>
              <w:fldChar w:fldCharType="end"/>
            </w:r>
            <w:r w:rsidRPr="006E1C53">
              <w:t xml:space="preserve"> </w:t>
            </w:r>
            <w:r w:rsidR="00805442">
              <w:t>din</w:t>
            </w:r>
            <w:r w:rsidRPr="006E1C53">
              <w:t xml:space="preserve"> </w:t>
            </w:r>
            <w:r w:rsidRPr="006E1C53">
              <w:rPr>
                <w:b/>
                <w:bCs/>
                <w:sz w:val="24"/>
                <w:szCs w:val="24"/>
              </w:rPr>
              <w:fldChar w:fldCharType="begin"/>
            </w:r>
            <w:r w:rsidRPr="006E1C53">
              <w:rPr>
                <w:b/>
                <w:bCs/>
              </w:rPr>
              <w:instrText xml:space="preserve"> NUMPAGES  </w:instrText>
            </w:r>
            <w:r w:rsidRPr="006E1C53">
              <w:rPr>
                <w:b/>
                <w:bCs/>
                <w:sz w:val="24"/>
                <w:szCs w:val="24"/>
              </w:rPr>
              <w:fldChar w:fldCharType="separate"/>
            </w:r>
            <w:r w:rsidRPr="006E1C53">
              <w:rPr>
                <w:b/>
                <w:bCs/>
              </w:rPr>
              <w:t>2</w:t>
            </w:r>
            <w:r w:rsidRPr="006E1C53">
              <w:rPr>
                <w:b/>
                <w:bCs/>
                <w:sz w:val="24"/>
                <w:szCs w:val="24"/>
              </w:rPr>
              <w:fldChar w:fldCharType="end"/>
            </w:r>
          </w:p>
        </w:sdtContent>
      </w:sdt>
    </w:sdtContent>
  </w:sdt>
  <w:p w14:paraId="5D14D713" w14:textId="77777777" w:rsidR="00AA7BA4" w:rsidRPr="006E1C53" w:rsidRDefault="00AA7BA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B26D" w14:textId="77777777" w:rsidR="00236855" w:rsidRPr="006E1C53" w:rsidRDefault="00236855" w:rsidP="00AA7BA4">
      <w:pPr>
        <w:spacing w:after="0" w:line="240" w:lineRule="auto"/>
      </w:pPr>
      <w:r w:rsidRPr="006E1C53">
        <w:separator/>
      </w:r>
    </w:p>
  </w:footnote>
  <w:footnote w:type="continuationSeparator" w:id="0">
    <w:p w14:paraId="47AC5467" w14:textId="77777777" w:rsidR="00236855" w:rsidRPr="006E1C53" w:rsidRDefault="00236855" w:rsidP="00AA7BA4">
      <w:pPr>
        <w:spacing w:after="0" w:line="240" w:lineRule="auto"/>
      </w:pPr>
      <w:r w:rsidRPr="006E1C5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5B4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96EC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D54F3"/>
    <w:multiLevelType w:val="hybridMultilevel"/>
    <w:tmpl w:val="37CCF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E875B9"/>
    <w:multiLevelType w:val="hybridMultilevel"/>
    <w:tmpl w:val="A51A50CA"/>
    <w:lvl w:ilvl="0" w:tplc="BB3685C6">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152CF"/>
    <w:multiLevelType w:val="multilevel"/>
    <w:tmpl w:val="280C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2FC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AB6874"/>
    <w:multiLevelType w:val="hybridMultilevel"/>
    <w:tmpl w:val="D6E47A2C"/>
    <w:lvl w:ilvl="0" w:tplc="8A92A7E4">
      <w:start w:val="1"/>
      <w:numFmt w:val="bullet"/>
      <w:lvlText w:val=""/>
      <w:lvlJc w:val="left"/>
      <w:pPr>
        <w:ind w:left="1520" w:hanging="360"/>
      </w:pPr>
      <w:rPr>
        <w:rFonts w:ascii="Symbol" w:hAnsi="Symbol"/>
      </w:rPr>
    </w:lvl>
    <w:lvl w:ilvl="1" w:tplc="49B40BD6">
      <w:start w:val="1"/>
      <w:numFmt w:val="bullet"/>
      <w:lvlText w:val=""/>
      <w:lvlJc w:val="left"/>
      <w:pPr>
        <w:ind w:left="1520" w:hanging="360"/>
      </w:pPr>
      <w:rPr>
        <w:rFonts w:ascii="Symbol" w:hAnsi="Symbol"/>
      </w:rPr>
    </w:lvl>
    <w:lvl w:ilvl="2" w:tplc="8FF4F0A2">
      <w:start w:val="1"/>
      <w:numFmt w:val="bullet"/>
      <w:lvlText w:val=""/>
      <w:lvlJc w:val="left"/>
      <w:pPr>
        <w:ind w:left="1520" w:hanging="360"/>
      </w:pPr>
      <w:rPr>
        <w:rFonts w:ascii="Symbol" w:hAnsi="Symbol"/>
      </w:rPr>
    </w:lvl>
    <w:lvl w:ilvl="3" w:tplc="FABA3F86">
      <w:start w:val="1"/>
      <w:numFmt w:val="bullet"/>
      <w:lvlText w:val=""/>
      <w:lvlJc w:val="left"/>
      <w:pPr>
        <w:ind w:left="1520" w:hanging="360"/>
      </w:pPr>
      <w:rPr>
        <w:rFonts w:ascii="Symbol" w:hAnsi="Symbol"/>
      </w:rPr>
    </w:lvl>
    <w:lvl w:ilvl="4" w:tplc="5C14C80C">
      <w:start w:val="1"/>
      <w:numFmt w:val="bullet"/>
      <w:lvlText w:val=""/>
      <w:lvlJc w:val="left"/>
      <w:pPr>
        <w:ind w:left="1520" w:hanging="360"/>
      </w:pPr>
      <w:rPr>
        <w:rFonts w:ascii="Symbol" w:hAnsi="Symbol"/>
      </w:rPr>
    </w:lvl>
    <w:lvl w:ilvl="5" w:tplc="3048C2B2">
      <w:start w:val="1"/>
      <w:numFmt w:val="bullet"/>
      <w:lvlText w:val=""/>
      <w:lvlJc w:val="left"/>
      <w:pPr>
        <w:ind w:left="1520" w:hanging="360"/>
      </w:pPr>
      <w:rPr>
        <w:rFonts w:ascii="Symbol" w:hAnsi="Symbol"/>
      </w:rPr>
    </w:lvl>
    <w:lvl w:ilvl="6" w:tplc="B7A26A58">
      <w:start w:val="1"/>
      <w:numFmt w:val="bullet"/>
      <w:lvlText w:val=""/>
      <w:lvlJc w:val="left"/>
      <w:pPr>
        <w:ind w:left="1520" w:hanging="360"/>
      </w:pPr>
      <w:rPr>
        <w:rFonts w:ascii="Symbol" w:hAnsi="Symbol"/>
      </w:rPr>
    </w:lvl>
    <w:lvl w:ilvl="7" w:tplc="20B06B08">
      <w:start w:val="1"/>
      <w:numFmt w:val="bullet"/>
      <w:lvlText w:val=""/>
      <w:lvlJc w:val="left"/>
      <w:pPr>
        <w:ind w:left="1520" w:hanging="360"/>
      </w:pPr>
      <w:rPr>
        <w:rFonts w:ascii="Symbol" w:hAnsi="Symbol"/>
      </w:rPr>
    </w:lvl>
    <w:lvl w:ilvl="8" w:tplc="788AD9D0">
      <w:start w:val="1"/>
      <w:numFmt w:val="bullet"/>
      <w:lvlText w:val=""/>
      <w:lvlJc w:val="left"/>
      <w:pPr>
        <w:ind w:left="1520" w:hanging="360"/>
      </w:pPr>
      <w:rPr>
        <w:rFonts w:ascii="Symbol" w:hAnsi="Symbol"/>
      </w:rPr>
    </w:lvl>
  </w:abstractNum>
  <w:abstractNum w:abstractNumId="7" w15:restartNumberingAfterBreak="0">
    <w:nsid w:val="03E21D69"/>
    <w:multiLevelType w:val="hybridMultilevel"/>
    <w:tmpl w:val="34F02E56"/>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 w15:restartNumberingAfterBreak="0">
    <w:nsid w:val="0604724A"/>
    <w:multiLevelType w:val="multilevel"/>
    <w:tmpl w:val="A628F6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79042A9"/>
    <w:multiLevelType w:val="multilevel"/>
    <w:tmpl w:val="33AA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5B3D8A"/>
    <w:multiLevelType w:val="hybridMultilevel"/>
    <w:tmpl w:val="0C509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B58C2"/>
    <w:multiLevelType w:val="hybridMultilevel"/>
    <w:tmpl w:val="7FC05024"/>
    <w:lvl w:ilvl="0" w:tplc="D4622D54">
      <w:start w:val="1"/>
      <w:numFmt w:val="decimal"/>
      <w:pStyle w:val="Titlu1"/>
      <w:lvlText w:val="%1. "/>
      <w:lvlJc w:val="left"/>
      <w:pPr>
        <w:ind w:left="360" w:hanging="360"/>
      </w:pPr>
      <w:rPr>
        <w:rFonts w:hint="default"/>
        <w:b/>
        <w:bCs/>
      </w:rPr>
    </w:lvl>
    <w:lvl w:ilvl="1" w:tplc="2F58A4EE">
      <w:start w:val="1"/>
      <w:numFmt w:val="lowerRoman"/>
      <w:lvlText w:val="%2."/>
      <w:lvlJc w:val="left"/>
      <w:pPr>
        <w:ind w:left="-216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12" w15:restartNumberingAfterBreak="0">
    <w:nsid w:val="0BD80F48"/>
    <w:multiLevelType w:val="hybridMultilevel"/>
    <w:tmpl w:val="D5FC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70D67"/>
    <w:multiLevelType w:val="multilevel"/>
    <w:tmpl w:val="C9F0B512"/>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6D7988"/>
    <w:multiLevelType w:val="hybridMultilevel"/>
    <w:tmpl w:val="47B2E834"/>
    <w:lvl w:ilvl="0" w:tplc="1A7ED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D870F6"/>
    <w:multiLevelType w:val="hybridMultilevel"/>
    <w:tmpl w:val="E2322E8C"/>
    <w:lvl w:ilvl="0" w:tplc="7F045630">
      <w:start w:val="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A76B0"/>
    <w:multiLevelType w:val="hybridMultilevel"/>
    <w:tmpl w:val="2302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89F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842574D"/>
    <w:multiLevelType w:val="multilevel"/>
    <w:tmpl w:val="E53251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93A68FB"/>
    <w:multiLevelType w:val="hybridMultilevel"/>
    <w:tmpl w:val="6DD87D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CE5A91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D783A12"/>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EC5358F"/>
    <w:multiLevelType w:val="hybridMultilevel"/>
    <w:tmpl w:val="EA1857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38718D9"/>
    <w:multiLevelType w:val="hybridMultilevel"/>
    <w:tmpl w:val="CFD497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C53882"/>
    <w:multiLevelType w:val="multilevel"/>
    <w:tmpl w:val="17A475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9764319"/>
    <w:multiLevelType w:val="multilevel"/>
    <w:tmpl w:val="03788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2B9A759B"/>
    <w:multiLevelType w:val="hybridMultilevel"/>
    <w:tmpl w:val="3DC4F868"/>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9" w15:restartNumberingAfterBreak="0">
    <w:nsid w:val="2C613902"/>
    <w:multiLevelType w:val="hybridMultilevel"/>
    <w:tmpl w:val="6E0C253C"/>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0" w15:restartNumberingAfterBreak="0">
    <w:nsid w:val="2CEC0C45"/>
    <w:multiLevelType w:val="multilevel"/>
    <w:tmpl w:val="A5F63AF2"/>
    <w:lvl w:ilvl="0">
      <w:start w:val="5"/>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2E616EFE"/>
    <w:multiLevelType w:val="multilevel"/>
    <w:tmpl w:val="964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1804B6B"/>
    <w:multiLevelType w:val="multilevel"/>
    <w:tmpl w:val="33B0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7917F7"/>
    <w:multiLevelType w:val="multilevel"/>
    <w:tmpl w:val="2A7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253B1E"/>
    <w:multiLevelType w:val="hybridMultilevel"/>
    <w:tmpl w:val="89504734"/>
    <w:lvl w:ilvl="0" w:tplc="2ED2BB9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3E8A64C4"/>
    <w:multiLevelType w:val="multilevel"/>
    <w:tmpl w:val="22AEBDD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1DA09DE"/>
    <w:multiLevelType w:val="hybridMultilevel"/>
    <w:tmpl w:val="1A580832"/>
    <w:lvl w:ilvl="0" w:tplc="95349B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963EC5"/>
    <w:multiLevelType w:val="hybridMultilevel"/>
    <w:tmpl w:val="7706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A52FB1"/>
    <w:multiLevelType w:val="hybridMultilevel"/>
    <w:tmpl w:val="C9404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2A66F26"/>
    <w:multiLevelType w:val="hybridMultilevel"/>
    <w:tmpl w:val="B2F62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58B9692A"/>
    <w:multiLevelType w:val="hybridMultilevel"/>
    <w:tmpl w:val="D0AE4C16"/>
    <w:lvl w:ilvl="0" w:tplc="65862E52">
      <w:start w:val="1"/>
      <w:numFmt w:val="lowerLetter"/>
      <w:lvlText w:val="%1)"/>
      <w:lvlJc w:val="left"/>
      <w:pPr>
        <w:ind w:left="720" w:hanging="360"/>
      </w:pPr>
      <w:rPr>
        <w:rFonts w:asciiTheme="minorHAnsi" w:eastAsiaTheme="majorEastAsia"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99330A9"/>
    <w:multiLevelType w:val="hybridMultilevel"/>
    <w:tmpl w:val="EDD46F1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5EED77EF"/>
    <w:multiLevelType w:val="multilevel"/>
    <w:tmpl w:val="D326E1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F4E732E"/>
    <w:multiLevelType w:val="hybridMultilevel"/>
    <w:tmpl w:val="1018BDA4"/>
    <w:lvl w:ilvl="0" w:tplc="1BFC0D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30C20E7"/>
    <w:multiLevelType w:val="hybridMultilevel"/>
    <w:tmpl w:val="C74AEE50"/>
    <w:lvl w:ilvl="0" w:tplc="1BFC0D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67102709"/>
    <w:multiLevelType w:val="hybridMultilevel"/>
    <w:tmpl w:val="1B26C81E"/>
    <w:lvl w:ilvl="0" w:tplc="9E98A4E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0D483D"/>
    <w:multiLevelType w:val="hybridMultilevel"/>
    <w:tmpl w:val="4388034E"/>
    <w:lvl w:ilvl="0" w:tplc="4EA694A6">
      <w:start w:val="2"/>
      <w:numFmt w:val="bullet"/>
      <w:lvlText w:val="-"/>
      <w:lvlJc w:val="left"/>
      <w:pPr>
        <w:ind w:left="720" w:hanging="360"/>
      </w:pPr>
      <w:rPr>
        <w:rFonts w:ascii="Trebuchet MS" w:eastAsiaTheme="minorHAns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1" w15:restartNumberingAfterBreak="0">
    <w:nsid w:val="6B044941"/>
    <w:multiLevelType w:val="hybridMultilevel"/>
    <w:tmpl w:val="6ACED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195F87"/>
    <w:multiLevelType w:val="hybridMultilevel"/>
    <w:tmpl w:val="0C64A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35C04"/>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72FC0BE9"/>
    <w:multiLevelType w:val="multilevel"/>
    <w:tmpl w:val="E21009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3F542F3"/>
    <w:multiLevelType w:val="multilevel"/>
    <w:tmpl w:val="39FC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98941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8510ABB"/>
    <w:multiLevelType w:val="hybridMultilevel"/>
    <w:tmpl w:val="D416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27101E"/>
    <w:multiLevelType w:val="hybridMultilevel"/>
    <w:tmpl w:val="0FBC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559525">
    <w:abstractNumId w:val="44"/>
  </w:num>
  <w:num w:numId="2" w16cid:durableId="1451240415">
    <w:abstractNumId w:val="35"/>
  </w:num>
  <w:num w:numId="3" w16cid:durableId="1960643069">
    <w:abstractNumId w:val="37"/>
  </w:num>
  <w:num w:numId="4" w16cid:durableId="1683507443">
    <w:abstractNumId w:val="27"/>
  </w:num>
  <w:num w:numId="5" w16cid:durableId="1518152195">
    <w:abstractNumId w:val="23"/>
  </w:num>
  <w:num w:numId="6" w16cid:durableId="1191921506">
    <w:abstractNumId w:val="48"/>
  </w:num>
  <w:num w:numId="7" w16cid:durableId="1355690630">
    <w:abstractNumId w:val="42"/>
  </w:num>
  <w:num w:numId="8" w16cid:durableId="619535540">
    <w:abstractNumId w:val="19"/>
  </w:num>
  <w:num w:numId="9" w16cid:durableId="2008360023">
    <w:abstractNumId w:val="22"/>
  </w:num>
  <w:num w:numId="10" w16cid:durableId="867455291">
    <w:abstractNumId w:val="26"/>
  </w:num>
  <w:num w:numId="11" w16cid:durableId="983002306">
    <w:abstractNumId w:val="13"/>
  </w:num>
  <w:num w:numId="12" w16cid:durableId="2127919210">
    <w:abstractNumId w:val="36"/>
  </w:num>
  <w:num w:numId="13" w16cid:durableId="490215389">
    <w:abstractNumId w:val="43"/>
  </w:num>
  <w:num w:numId="14" w16cid:durableId="901060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9354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91454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4383993">
    <w:abstractNumId w:val="54"/>
  </w:num>
  <w:num w:numId="18" w16cid:durableId="1714500506">
    <w:abstractNumId w:val="51"/>
  </w:num>
  <w:num w:numId="19" w16cid:durableId="56634225">
    <w:abstractNumId w:val="30"/>
  </w:num>
  <w:num w:numId="20" w16cid:durableId="1626622099">
    <w:abstractNumId w:val="21"/>
  </w:num>
  <w:num w:numId="21" w16cid:durableId="351033282">
    <w:abstractNumId w:val="53"/>
  </w:num>
  <w:num w:numId="22" w16cid:durableId="1944336502">
    <w:abstractNumId w:val="56"/>
  </w:num>
  <w:num w:numId="23" w16cid:durableId="273944184">
    <w:abstractNumId w:val="14"/>
  </w:num>
  <w:num w:numId="24" w16cid:durableId="202904430">
    <w:abstractNumId w:val="55"/>
  </w:num>
  <w:num w:numId="25" w16cid:durableId="1134755901">
    <w:abstractNumId w:val="31"/>
  </w:num>
  <w:num w:numId="26" w16cid:durableId="571504499">
    <w:abstractNumId w:val="15"/>
  </w:num>
  <w:num w:numId="27" w16cid:durableId="1089616401">
    <w:abstractNumId w:val="10"/>
  </w:num>
  <w:num w:numId="28" w16cid:durableId="1916937980">
    <w:abstractNumId w:val="52"/>
  </w:num>
  <w:num w:numId="29" w16cid:durableId="1679887921">
    <w:abstractNumId w:val="24"/>
  </w:num>
  <w:num w:numId="30" w16cid:durableId="1583831263">
    <w:abstractNumId w:val="38"/>
  </w:num>
  <w:num w:numId="31" w16cid:durableId="1004937181">
    <w:abstractNumId w:val="25"/>
  </w:num>
  <w:num w:numId="32" w16cid:durableId="501089953">
    <w:abstractNumId w:val="47"/>
  </w:num>
  <w:num w:numId="33" w16cid:durableId="1963685389">
    <w:abstractNumId w:val="16"/>
  </w:num>
  <w:num w:numId="34" w16cid:durableId="1021514269">
    <w:abstractNumId w:val="6"/>
  </w:num>
  <w:num w:numId="35" w16cid:durableId="1585072910">
    <w:abstractNumId w:val="50"/>
  </w:num>
  <w:num w:numId="36" w16cid:durableId="58091128">
    <w:abstractNumId w:val="46"/>
  </w:num>
  <w:num w:numId="37" w16cid:durableId="1259946203">
    <w:abstractNumId w:val="33"/>
  </w:num>
  <w:num w:numId="38" w16cid:durableId="510074023">
    <w:abstractNumId w:val="45"/>
  </w:num>
  <w:num w:numId="39" w16cid:durableId="367724250">
    <w:abstractNumId w:val="32"/>
  </w:num>
  <w:num w:numId="40" w16cid:durableId="163864278">
    <w:abstractNumId w:val="8"/>
  </w:num>
  <w:num w:numId="41" w16cid:durableId="1835220647">
    <w:abstractNumId w:val="9"/>
  </w:num>
  <w:num w:numId="42" w16cid:durableId="755132889">
    <w:abstractNumId w:val="4"/>
  </w:num>
  <w:num w:numId="43" w16cid:durableId="2001034948">
    <w:abstractNumId w:val="3"/>
  </w:num>
  <w:num w:numId="44" w16cid:durableId="1175338176">
    <w:abstractNumId w:val="49"/>
  </w:num>
  <w:num w:numId="45" w16cid:durableId="653608357">
    <w:abstractNumId w:val="34"/>
  </w:num>
  <w:num w:numId="46" w16cid:durableId="294146982">
    <w:abstractNumId w:val="41"/>
  </w:num>
  <w:num w:numId="47" w16cid:durableId="363874521">
    <w:abstractNumId w:val="17"/>
  </w:num>
  <w:num w:numId="48" w16cid:durableId="1604415976">
    <w:abstractNumId w:val="20"/>
  </w:num>
  <w:num w:numId="49" w16cid:durableId="459150503">
    <w:abstractNumId w:val="0"/>
  </w:num>
  <w:num w:numId="50" w16cid:durableId="191915709">
    <w:abstractNumId w:val="57"/>
  </w:num>
  <w:num w:numId="51" w16cid:durableId="794911286">
    <w:abstractNumId w:val="5"/>
  </w:num>
  <w:num w:numId="52" w16cid:durableId="400174231">
    <w:abstractNumId w:val="1"/>
  </w:num>
  <w:num w:numId="53" w16cid:durableId="1256673754">
    <w:abstractNumId w:val="18"/>
  </w:num>
  <w:num w:numId="54" w16cid:durableId="837959660">
    <w:abstractNumId w:val="11"/>
  </w:num>
  <w:num w:numId="55" w16cid:durableId="930043414">
    <w:abstractNumId w:val="11"/>
  </w:num>
  <w:num w:numId="56" w16cid:durableId="1554928680">
    <w:abstractNumId w:val="11"/>
  </w:num>
  <w:num w:numId="57" w16cid:durableId="1934436983">
    <w:abstractNumId w:val="40"/>
  </w:num>
  <w:num w:numId="58" w16cid:durableId="2043558078">
    <w:abstractNumId w:val="2"/>
  </w:num>
  <w:num w:numId="59" w16cid:durableId="1263874868">
    <w:abstractNumId w:val="12"/>
  </w:num>
  <w:num w:numId="60" w16cid:durableId="2106415689">
    <w:abstractNumId w:val="58"/>
  </w:num>
  <w:num w:numId="61" w16cid:durableId="1256160927">
    <w:abstractNumId w:val="59"/>
  </w:num>
  <w:num w:numId="62" w16cid:durableId="145000832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C3"/>
    <w:rsid w:val="00000E29"/>
    <w:rsid w:val="00001CAC"/>
    <w:rsid w:val="00002FA2"/>
    <w:rsid w:val="0000398B"/>
    <w:rsid w:val="00004D9A"/>
    <w:rsid w:val="000100AE"/>
    <w:rsid w:val="000100F4"/>
    <w:rsid w:val="00011FD1"/>
    <w:rsid w:val="00012110"/>
    <w:rsid w:val="00016F27"/>
    <w:rsid w:val="00016F4E"/>
    <w:rsid w:val="00017EF1"/>
    <w:rsid w:val="0002193B"/>
    <w:rsid w:val="00023774"/>
    <w:rsid w:val="00026E94"/>
    <w:rsid w:val="00027821"/>
    <w:rsid w:val="00027DBD"/>
    <w:rsid w:val="000347E6"/>
    <w:rsid w:val="0004137F"/>
    <w:rsid w:val="00041C28"/>
    <w:rsid w:val="00042608"/>
    <w:rsid w:val="0004640D"/>
    <w:rsid w:val="000535BD"/>
    <w:rsid w:val="00053924"/>
    <w:rsid w:val="0005557C"/>
    <w:rsid w:val="0005606A"/>
    <w:rsid w:val="000565EA"/>
    <w:rsid w:val="00066064"/>
    <w:rsid w:val="00066C15"/>
    <w:rsid w:val="00073B5B"/>
    <w:rsid w:val="00080A2B"/>
    <w:rsid w:val="00081AE8"/>
    <w:rsid w:val="0008230D"/>
    <w:rsid w:val="00085B29"/>
    <w:rsid w:val="00085D1B"/>
    <w:rsid w:val="00086452"/>
    <w:rsid w:val="00087A5F"/>
    <w:rsid w:val="00090143"/>
    <w:rsid w:val="000904F2"/>
    <w:rsid w:val="0009190A"/>
    <w:rsid w:val="00094FB7"/>
    <w:rsid w:val="000964DC"/>
    <w:rsid w:val="000965D1"/>
    <w:rsid w:val="00096EC8"/>
    <w:rsid w:val="00097E76"/>
    <w:rsid w:val="000A21EA"/>
    <w:rsid w:val="000A45DD"/>
    <w:rsid w:val="000A7734"/>
    <w:rsid w:val="000A7D4E"/>
    <w:rsid w:val="000B0C0A"/>
    <w:rsid w:val="000B577C"/>
    <w:rsid w:val="000B699A"/>
    <w:rsid w:val="000B71B7"/>
    <w:rsid w:val="000C1B5E"/>
    <w:rsid w:val="000C3623"/>
    <w:rsid w:val="000C5666"/>
    <w:rsid w:val="000C5780"/>
    <w:rsid w:val="000C7097"/>
    <w:rsid w:val="000D01CF"/>
    <w:rsid w:val="000D035F"/>
    <w:rsid w:val="000D0DD3"/>
    <w:rsid w:val="000D109D"/>
    <w:rsid w:val="000D122D"/>
    <w:rsid w:val="000D5E3B"/>
    <w:rsid w:val="000D648F"/>
    <w:rsid w:val="000E0EA7"/>
    <w:rsid w:val="000E7062"/>
    <w:rsid w:val="000E7A64"/>
    <w:rsid w:val="000E7F1B"/>
    <w:rsid w:val="000F0814"/>
    <w:rsid w:val="000F1AF3"/>
    <w:rsid w:val="000F2481"/>
    <w:rsid w:val="000F2CD4"/>
    <w:rsid w:val="000F37F6"/>
    <w:rsid w:val="000F61D9"/>
    <w:rsid w:val="000F6446"/>
    <w:rsid w:val="000F6FED"/>
    <w:rsid w:val="000F7DF3"/>
    <w:rsid w:val="0010052E"/>
    <w:rsid w:val="001006FD"/>
    <w:rsid w:val="00101936"/>
    <w:rsid w:val="00103841"/>
    <w:rsid w:val="001065F4"/>
    <w:rsid w:val="00107C27"/>
    <w:rsid w:val="001109AF"/>
    <w:rsid w:val="001114B3"/>
    <w:rsid w:val="00116F71"/>
    <w:rsid w:val="00117D2A"/>
    <w:rsid w:val="00121784"/>
    <w:rsid w:val="00125883"/>
    <w:rsid w:val="00126533"/>
    <w:rsid w:val="00130702"/>
    <w:rsid w:val="00132662"/>
    <w:rsid w:val="001326C9"/>
    <w:rsid w:val="00135208"/>
    <w:rsid w:val="00136249"/>
    <w:rsid w:val="0013744C"/>
    <w:rsid w:val="00137B28"/>
    <w:rsid w:val="0014133E"/>
    <w:rsid w:val="00142044"/>
    <w:rsid w:val="0014220F"/>
    <w:rsid w:val="00147100"/>
    <w:rsid w:val="00147563"/>
    <w:rsid w:val="00151BA0"/>
    <w:rsid w:val="00156F19"/>
    <w:rsid w:val="0015708F"/>
    <w:rsid w:val="00157862"/>
    <w:rsid w:val="0016308E"/>
    <w:rsid w:val="0016331D"/>
    <w:rsid w:val="001650EF"/>
    <w:rsid w:val="00165E76"/>
    <w:rsid w:val="00170341"/>
    <w:rsid w:val="0017049A"/>
    <w:rsid w:val="00170790"/>
    <w:rsid w:val="00170A0A"/>
    <w:rsid w:val="0017408A"/>
    <w:rsid w:val="0018088E"/>
    <w:rsid w:val="001811D2"/>
    <w:rsid w:val="001814D2"/>
    <w:rsid w:val="00182A0C"/>
    <w:rsid w:val="00186B21"/>
    <w:rsid w:val="001901BC"/>
    <w:rsid w:val="00191382"/>
    <w:rsid w:val="00192D52"/>
    <w:rsid w:val="00193463"/>
    <w:rsid w:val="001947E8"/>
    <w:rsid w:val="0019692F"/>
    <w:rsid w:val="00196E83"/>
    <w:rsid w:val="00197EF4"/>
    <w:rsid w:val="001A0A7C"/>
    <w:rsid w:val="001A2BAA"/>
    <w:rsid w:val="001A5974"/>
    <w:rsid w:val="001A682B"/>
    <w:rsid w:val="001A6FC4"/>
    <w:rsid w:val="001A7ACA"/>
    <w:rsid w:val="001B0C5E"/>
    <w:rsid w:val="001B0F82"/>
    <w:rsid w:val="001B1E80"/>
    <w:rsid w:val="001B2F73"/>
    <w:rsid w:val="001B2FC2"/>
    <w:rsid w:val="001B356E"/>
    <w:rsid w:val="001B45D5"/>
    <w:rsid w:val="001B6180"/>
    <w:rsid w:val="001B7B8F"/>
    <w:rsid w:val="001C4B9D"/>
    <w:rsid w:val="001C5C69"/>
    <w:rsid w:val="001D42CC"/>
    <w:rsid w:val="001D6B60"/>
    <w:rsid w:val="001D6F01"/>
    <w:rsid w:val="001E0696"/>
    <w:rsid w:val="001E1892"/>
    <w:rsid w:val="001E4737"/>
    <w:rsid w:val="001F0BD4"/>
    <w:rsid w:val="001F1839"/>
    <w:rsid w:val="001F18AC"/>
    <w:rsid w:val="00200E60"/>
    <w:rsid w:val="002033AA"/>
    <w:rsid w:val="0020431A"/>
    <w:rsid w:val="002057BA"/>
    <w:rsid w:val="002122E0"/>
    <w:rsid w:val="0021231F"/>
    <w:rsid w:val="00212519"/>
    <w:rsid w:val="00212E60"/>
    <w:rsid w:val="00217C93"/>
    <w:rsid w:val="00220FE3"/>
    <w:rsid w:val="002219F5"/>
    <w:rsid w:val="00222D03"/>
    <w:rsid w:val="00224410"/>
    <w:rsid w:val="0022535F"/>
    <w:rsid w:val="002271B4"/>
    <w:rsid w:val="00227A9D"/>
    <w:rsid w:val="002326FE"/>
    <w:rsid w:val="002327E2"/>
    <w:rsid w:val="00234E08"/>
    <w:rsid w:val="00236855"/>
    <w:rsid w:val="00237E59"/>
    <w:rsid w:val="00241044"/>
    <w:rsid w:val="00241CDA"/>
    <w:rsid w:val="00242025"/>
    <w:rsid w:val="00242D85"/>
    <w:rsid w:val="00243B7D"/>
    <w:rsid w:val="00246DA4"/>
    <w:rsid w:val="002506F2"/>
    <w:rsid w:val="00250F82"/>
    <w:rsid w:val="00251879"/>
    <w:rsid w:val="0025229D"/>
    <w:rsid w:val="002522D3"/>
    <w:rsid w:val="00257149"/>
    <w:rsid w:val="00260F5A"/>
    <w:rsid w:val="0026166A"/>
    <w:rsid w:val="00261A88"/>
    <w:rsid w:val="002670EC"/>
    <w:rsid w:val="00270663"/>
    <w:rsid w:val="00273989"/>
    <w:rsid w:val="00275C8D"/>
    <w:rsid w:val="00276A8D"/>
    <w:rsid w:val="00282835"/>
    <w:rsid w:val="00285DFC"/>
    <w:rsid w:val="002861BA"/>
    <w:rsid w:val="00287092"/>
    <w:rsid w:val="00292C31"/>
    <w:rsid w:val="00294BA5"/>
    <w:rsid w:val="00294DEF"/>
    <w:rsid w:val="0029766B"/>
    <w:rsid w:val="002A30AB"/>
    <w:rsid w:val="002A4F8D"/>
    <w:rsid w:val="002A7B05"/>
    <w:rsid w:val="002B0D79"/>
    <w:rsid w:val="002B1877"/>
    <w:rsid w:val="002B1C0F"/>
    <w:rsid w:val="002B23F8"/>
    <w:rsid w:val="002B707E"/>
    <w:rsid w:val="002C1F94"/>
    <w:rsid w:val="002C2A28"/>
    <w:rsid w:val="002C683C"/>
    <w:rsid w:val="002D1573"/>
    <w:rsid w:val="002D6F35"/>
    <w:rsid w:val="002E0A4B"/>
    <w:rsid w:val="002E1775"/>
    <w:rsid w:val="002E18B4"/>
    <w:rsid w:val="002E20F1"/>
    <w:rsid w:val="002E5A83"/>
    <w:rsid w:val="002E6CDF"/>
    <w:rsid w:val="002E7F84"/>
    <w:rsid w:val="002F24E2"/>
    <w:rsid w:val="00300BFB"/>
    <w:rsid w:val="00307438"/>
    <w:rsid w:val="00312073"/>
    <w:rsid w:val="00313264"/>
    <w:rsid w:val="00315BF4"/>
    <w:rsid w:val="00317F52"/>
    <w:rsid w:val="0032063E"/>
    <w:rsid w:val="003210D3"/>
    <w:rsid w:val="00321F66"/>
    <w:rsid w:val="00322D1E"/>
    <w:rsid w:val="00323B9A"/>
    <w:rsid w:val="00326A66"/>
    <w:rsid w:val="00326C5F"/>
    <w:rsid w:val="003272CA"/>
    <w:rsid w:val="003301B4"/>
    <w:rsid w:val="003331F4"/>
    <w:rsid w:val="00337ED9"/>
    <w:rsid w:val="00342123"/>
    <w:rsid w:val="00342236"/>
    <w:rsid w:val="00342BE6"/>
    <w:rsid w:val="0034437E"/>
    <w:rsid w:val="00344449"/>
    <w:rsid w:val="003453EC"/>
    <w:rsid w:val="003473FA"/>
    <w:rsid w:val="00347F40"/>
    <w:rsid w:val="00356433"/>
    <w:rsid w:val="00357933"/>
    <w:rsid w:val="00360941"/>
    <w:rsid w:val="003618FC"/>
    <w:rsid w:val="003660C4"/>
    <w:rsid w:val="0036686E"/>
    <w:rsid w:val="003732D0"/>
    <w:rsid w:val="00373C39"/>
    <w:rsid w:val="00374123"/>
    <w:rsid w:val="003749F5"/>
    <w:rsid w:val="0037762D"/>
    <w:rsid w:val="003817F7"/>
    <w:rsid w:val="00381D7C"/>
    <w:rsid w:val="00385FEC"/>
    <w:rsid w:val="00387088"/>
    <w:rsid w:val="00387938"/>
    <w:rsid w:val="00391CD7"/>
    <w:rsid w:val="00392E2E"/>
    <w:rsid w:val="00395FA1"/>
    <w:rsid w:val="00396745"/>
    <w:rsid w:val="00396E70"/>
    <w:rsid w:val="003A4B9A"/>
    <w:rsid w:val="003A4EB7"/>
    <w:rsid w:val="003A4EDC"/>
    <w:rsid w:val="003B24EE"/>
    <w:rsid w:val="003B2C13"/>
    <w:rsid w:val="003B61E1"/>
    <w:rsid w:val="003C0671"/>
    <w:rsid w:val="003C4ECF"/>
    <w:rsid w:val="003D1F9C"/>
    <w:rsid w:val="003D2127"/>
    <w:rsid w:val="003D4193"/>
    <w:rsid w:val="003D570A"/>
    <w:rsid w:val="003E1218"/>
    <w:rsid w:val="003E193F"/>
    <w:rsid w:val="003E1BB1"/>
    <w:rsid w:val="003E2D70"/>
    <w:rsid w:val="003F273C"/>
    <w:rsid w:val="003F45F0"/>
    <w:rsid w:val="0040000D"/>
    <w:rsid w:val="00401D5C"/>
    <w:rsid w:val="00403B77"/>
    <w:rsid w:val="0040440E"/>
    <w:rsid w:val="00405A2B"/>
    <w:rsid w:val="00406B01"/>
    <w:rsid w:val="00406D09"/>
    <w:rsid w:val="00407C9A"/>
    <w:rsid w:val="00413F4F"/>
    <w:rsid w:val="00417285"/>
    <w:rsid w:val="00420DD2"/>
    <w:rsid w:val="00421758"/>
    <w:rsid w:val="00423B7D"/>
    <w:rsid w:val="004279F6"/>
    <w:rsid w:val="0043058B"/>
    <w:rsid w:val="004315E5"/>
    <w:rsid w:val="004346A6"/>
    <w:rsid w:val="004362E9"/>
    <w:rsid w:val="0043782F"/>
    <w:rsid w:val="00440F33"/>
    <w:rsid w:val="0044278D"/>
    <w:rsid w:val="0044296C"/>
    <w:rsid w:val="00447A81"/>
    <w:rsid w:val="00452CB9"/>
    <w:rsid w:val="00453496"/>
    <w:rsid w:val="004540A9"/>
    <w:rsid w:val="00455175"/>
    <w:rsid w:val="00455B1E"/>
    <w:rsid w:val="00455E99"/>
    <w:rsid w:val="004564B5"/>
    <w:rsid w:val="00457B71"/>
    <w:rsid w:val="004609F4"/>
    <w:rsid w:val="004623A5"/>
    <w:rsid w:val="00472000"/>
    <w:rsid w:val="004722FA"/>
    <w:rsid w:val="0047392E"/>
    <w:rsid w:val="004778AD"/>
    <w:rsid w:val="00481622"/>
    <w:rsid w:val="004841AA"/>
    <w:rsid w:val="00490E75"/>
    <w:rsid w:val="004935ED"/>
    <w:rsid w:val="004A6779"/>
    <w:rsid w:val="004B03EF"/>
    <w:rsid w:val="004B12D5"/>
    <w:rsid w:val="004B13A0"/>
    <w:rsid w:val="004B15DF"/>
    <w:rsid w:val="004B4692"/>
    <w:rsid w:val="004B4B3B"/>
    <w:rsid w:val="004B608B"/>
    <w:rsid w:val="004B6979"/>
    <w:rsid w:val="004C6264"/>
    <w:rsid w:val="004C74BE"/>
    <w:rsid w:val="004C7F15"/>
    <w:rsid w:val="004D1447"/>
    <w:rsid w:val="004D2F26"/>
    <w:rsid w:val="004D5673"/>
    <w:rsid w:val="004D585A"/>
    <w:rsid w:val="004D5F8D"/>
    <w:rsid w:val="004D7805"/>
    <w:rsid w:val="004E148C"/>
    <w:rsid w:val="004E284B"/>
    <w:rsid w:val="004E3FF1"/>
    <w:rsid w:val="004E45CF"/>
    <w:rsid w:val="004E6AFB"/>
    <w:rsid w:val="004E7090"/>
    <w:rsid w:val="004F0105"/>
    <w:rsid w:val="004F0963"/>
    <w:rsid w:val="004F0B8C"/>
    <w:rsid w:val="004F1E2B"/>
    <w:rsid w:val="004F2573"/>
    <w:rsid w:val="004F29FF"/>
    <w:rsid w:val="004F43D4"/>
    <w:rsid w:val="004F7938"/>
    <w:rsid w:val="00502394"/>
    <w:rsid w:val="005102AB"/>
    <w:rsid w:val="00511D69"/>
    <w:rsid w:val="00512A79"/>
    <w:rsid w:val="00520BDC"/>
    <w:rsid w:val="00521489"/>
    <w:rsid w:val="00521AF4"/>
    <w:rsid w:val="00522DF0"/>
    <w:rsid w:val="00526CCF"/>
    <w:rsid w:val="00526D56"/>
    <w:rsid w:val="00530039"/>
    <w:rsid w:val="00530F0E"/>
    <w:rsid w:val="00531B6E"/>
    <w:rsid w:val="00531F6F"/>
    <w:rsid w:val="005341B6"/>
    <w:rsid w:val="00534B57"/>
    <w:rsid w:val="005360B5"/>
    <w:rsid w:val="00536483"/>
    <w:rsid w:val="00540082"/>
    <w:rsid w:val="00542EEC"/>
    <w:rsid w:val="00543909"/>
    <w:rsid w:val="00546E81"/>
    <w:rsid w:val="00550AD1"/>
    <w:rsid w:val="005546B7"/>
    <w:rsid w:val="00554E75"/>
    <w:rsid w:val="00555EB5"/>
    <w:rsid w:val="00560ECA"/>
    <w:rsid w:val="00560F1D"/>
    <w:rsid w:val="005648E1"/>
    <w:rsid w:val="0056745F"/>
    <w:rsid w:val="0057030E"/>
    <w:rsid w:val="00570DCA"/>
    <w:rsid w:val="005710E6"/>
    <w:rsid w:val="00572EC7"/>
    <w:rsid w:val="00574125"/>
    <w:rsid w:val="00574543"/>
    <w:rsid w:val="005765A5"/>
    <w:rsid w:val="00584A26"/>
    <w:rsid w:val="005911C2"/>
    <w:rsid w:val="005927C0"/>
    <w:rsid w:val="00592FF2"/>
    <w:rsid w:val="005930BD"/>
    <w:rsid w:val="005935D2"/>
    <w:rsid w:val="005968BD"/>
    <w:rsid w:val="00597846"/>
    <w:rsid w:val="00597F78"/>
    <w:rsid w:val="005A02AE"/>
    <w:rsid w:val="005A0B5F"/>
    <w:rsid w:val="005A1FA9"/>
    <w:rsid w:val="005A24F1"/>
    <w:rsid w:val="005A3B1F"/>
    <w:rsid w:val="005A4FC1"/>
    <w:rsid w:val="005B5C4B"/>
    <w:rsid w:val="005B65D3"/>
    <w:rsid w:val="005C50D4"/>
    <w:rsid w:val="005D0F8C"/>
    <w:rsid w:val="005D1B50"/>
    <w:rsid w:val="005D458B"/>
    <w:rsid w:val="005E0FB8"/>
    <w:rsid w:val="005E3B8B"/>
    <w:rsid w:val="005E42BE"/>
    <w:rsid w:val="005E47A8"/>
    <w:rsid w:val="005E4B34"/>
    <w:rsid w:val="005E4C04"/>
    <w:rsid w:val="005E715D"/>
    <w:rsid w:val="005E74D7"/>
    <w:rsid w:val="005E790D"/>
    <w:rsid w:val="005E7D38"/>
    <w:rsid w:val="005F1047"/>
    <w:rsid w:val="005F30D0"/>
    <w:rsid w:val="005F3796"/>
    <w:rsid w:val="005F44E2"/>
    <w:rsid w:val="005F4F20"/>
    <w:rsid w:val="005F6E2F"/>
    <w:rsid w:val="005F7E70"/>
    <w:rsid w:val="00602229"/>
    <w:rsid w:val="00604A96"/>
    <w:rsid w:val="00606717"/>
    <w:rsid w:val="00611BBF"/>
    <w:rsid w:val="006140E3"/>
    <w:rsid w:val="00616528"/>
    <w:rsid w:val="00620D01"/>
    <w:rsid w:val="0062181D"/>
    <w:rsid w:val="00626C1C"/>
    <w:rsid w:val="00627CCC"/>
    <w:rsid w:val="0063109B"/>
    <w:rsid w:val="00631423"/>
    <w:rsid w:val="00631BAC"/>
    <w:rsid w:val="00633872"/>
    <w:rsid w:val="0063711B"/>
    <w:rsid w:val="00642D5A"/>
    <w:rsid w:val="00643751"/>
    <w:rsid w:val="006453A4"/>
    <w:rsid w:val="006456CA"/>
    <w:rsid w:val="00645F69"/>
    <w:rsid w:val="006516C5"/>
    <w:rsid w:val="00651EE8"/>
    <w:rsid w:val="00652B47"/>
    <w:rsid w:val="00653547"/>
    <w:rsid w:val="006543C2"/>
    <w:rsid w:val="00654446"/>
    <w:rsid w:val="00656E0E"/>
    <w:rsid w:val="006574AB"/>
    <w:rsid w:val="006615BF"/>
    <w:rsid w:val="00665886"/>
    <w:rsid w:val="00665B1D"/>
    <w:rsid w:val="00667A58"/>
    <w:rsid w:val="006715C2"/>
    <w:rsid w:val="00671678"/>
    <w:rsid w:val="00672551"/>
    <w:rsid w:val="00674E4E"/>
    <w:rsid w:val="006771DC"/>
    <w:rsid w:val="00677541"/>
    <w:rsid w:val="0067787B"/>
    <w:rsid w:val="00683ABA"/>
    <w:rsid w:val="00683DE1"/>
    <w:rsid w:val="006840CB"/>
    <w:rsid w:val="006872FA"/>
    <w:rsid w:val="00696806"/>
    <w:rsid w:val="006A0B99"/>
    <w:rsid w:val="006A3D1B"/>
    <w:rsid w:val="006B2CE0"/>
    <w:rsid w:val="006B7CF9"/>
    <w:rsid w:val="006C3FEE"/>
    <w:rsid w:val="006C4C30"/>
    <w:rsid w:val="006D1596"/>
    <w:rsid w:val="006D1A8C"/>
    <w:rsid w:val="006D6D3F"/>
    <w:rsid w:val="006D74C5"/>
    <w:rsid w:val="006E00E6"/>
    <w:rsid w:val="006E109F"/>
    <w:rsid w:val="006E1C53"/>
    <w:rsid w:val="006F1C87"/>
    <w:rsid w:val="006F5940"/>
    <w:rsid w:val="00701AC3"/>
    <w:rsid w:val="007045E3"/>
    <w:rsid w:val="007107BD"/>
    <w:rsid w:val="00712AF4"/>
    <w:rsid w:val="00713159"/>
    <w:rsid w:val="00716791"/>
    <w:rsid w:val="00716BB7"/>
    <w:rsid w:val="00716D66"/>
    <w:rsid w:val="007202BE"/>
    <w:rsid w:val="0072096F"/>
    <w:rsid w:val="0072121A"/>
    <w:rsid w:val="00722533"/>
    <w:rsid w:val="0072323E"/>
    <w:rsid w:val="00733C61"/>
    <w:rsid w:val="00735140"/>
    <w:rsid w:val="0073783A"/>
    <w:rsid w:val="007400F9"/>
    <w:rsid w:val="007412D0"/>
    <w:rsid w:val="00744273"/>
    <w:rsid w:val="00746B8E"/>
    <w:rsid w:val="0074718A"/>
    <w:rsid w:val="00747D4C"/>
    <w:rsid w:val="007507B1"/>
    <w:rsid w:val="0075093D"/>
    <w:rsid w:val="00751089"/>
    <w:rsid w:val="00752948"/>
    <w:rsid w:val="0075571D"/>
    <w:rsid w:val="007559DD"/>
    <w:rsid w:val="007621E2"/>
    <w:rsid w:val="00762CEC"/>
    <w:rsid w:val="0076587D"/>
    <w:rsid w:val="00772B3B"/>
    <w:rsid w:val="0077305D"/>
    <w:rsid w:val="00774920"/>
    <w:rsid w:val="00776134"/>
    <w:rsid w:val="00777E28"/>
    <w:rsid w:val="007800DC"/>
    <w:rsid w:val="00780E0A"/>
    <w:rsid w:val="007812BC"/>
    <w:rsid w:val="007834D5"/>
    <w:rsid w:val="007837F0"/>
    <w:rsid w:val="0078382A"/>
    <w:rsid w:val="0078498B"/>
    <w:rsid w:val="00784E65"/>
    <w:rsid w:val="0078510E"/>
    <w:rsid w:val="0078570E"/>
    <w:rsid w:val="00786FE9"/>
    <w:rsid w:val="00790A45"/>
    <w:rsid w:val="00796D23"/>
    <w:rsid w:val="007A13D5"/>
    <w:rsid w:val="007A453F"/>
    <w:rsid w:val="007A4ACA"/>
    <w:rsid w:val="007A4B20"/>
    <w:rsid w:val="007A7DBA"/>
    <w:rsid w:val="007B14D5"/>
    <w:rsid w:val="007B19C4"/>
    <w:rsid w:val="007B330F"/>
    <w:rsid w:val="007B3F5C"/>
    <w:rsid w:val="007B4B45"/>
    <w:rsid w:val="007B7643"/>
    <w:rsid w:val="007B7CA7"/>
    <w:rsid w:val="007C018B"/>
    <w:rsid w:val="007C29E4"/>
    <w:rsid w:val="007C3C8E"/>
    <w:rsid w:val="007C48A4"/>
    <w:rsid w:val="007C605C"/>
    <w:rsid w:val="007D6A3E"/>
    <w:rsid w:val="007D7F1F"/>
    <w:rsid w:val="007E0943"/>
    <w:rsid w:val="007E1CE3"/>
    <w:rsid w:val="007E5036"/>
    <w:rsid w:val="007E5DC9"/>
    <w:rsid w:val="007F09D2"/>
    <w:rsid w:val="007F184A"/>
    <w:rsid w:val="007F4237"/>
    <w:rsid w:val="007F5342"/>
    <w:rsid w:val="007F7C02"/>
    <w:rsid w:val="0080087B"/>
    <w:rsid w:val="008023F4"/>
    <w:rsid w:val="00804F62"/>
    <w:rsid w:val="0080520A"/>
    <w:rsid w:val="00805442"/>
    <w:rsid w:val="0080742D"/>
    <w:rsid w:val="008100A9"/>
    <w:rsid w:val="0081077A"/>
    <w:rsid w:val="00810A21"/>
    <w:rsid w:val="00811910"/>
    <w:rsid w:val="00815254"/>
    <w:rsid w:val="008162ED"/>
    <w:rsid w:val="00820122"/>
    <w:rsid w:val="0082045B"/>
    <w:rsid w:val="0082260E"/>
    <w:rsid w:val="00822B89"/>
    <w:rsid w:val="008249CD"/>
    <w:rsid w:val="008311B0"/>
    <w:rsid w:val="00832A9B"/>
    <w:rsid w:val="0083498A"/>
    <w:rsid w:val="00834F96"/>
    <w:rsid w:val="0084333C"/>
    <w:rsid w:val="008442AA"/>
    <w:rsid w:val="00844FE0"/>
    <w:rsid w:val="00845B3E"/>
    <w:rsid w:val="00845F13"/>
    <w:rsid w:val="00846513"/>
    <w:rsid w:val="00847631"/>
    <w:rsid w:val="00850BEC"/>
    <w:rsid w:val="00850DD3"/>
    <w:rsid w:val="00853149"/>
    <w:rsid w:val="00853BC0"/>
    <w:rsid w:val="00853CC7"/>
    <w:rsid w:val="00854263"/>
    <w:rsid w:val="00854A04"/>
    <w:rsid w:val="00854B37"/>
    <w:rsid w:val="008561A9"/>
    <w:rsid w:val="0085784D"/>
    <w:rsid w:val="00857FB8"/>
    <w:rsid w:val="00860BD4"/>
    <w:rsid w:val="00862296"/>
    <w:rsid w:val="008647B3"/>
    <w:rsid w:val="008671BC"/>
    <w:rsid w:val="0087026A"/>
    <w:rsid w:val="00873104"/>
    <w:rsid w:val="00875233"/>
    <w:rsid w:val="008760FD"/>
    <w:rsid w:val="00876C5F"/>
    <w:rsid w:val="00877B00"/>
    <w:rsid w:val="00877E8A"/>
    <w:rsid w:val="00882D73"/>
    <w:rsid w:val="00883352"/>
    <w:rsid w:val="00887F22"/>
    <w:rsid w:val="00890D1F"/>
    <w:rsid w:val="00891DF1"/>
    <w:rsid w:val="00892710"/>
    <w:rsid w:val="00897118"/>
    <w:rsid w:val="00897C24"/>
    <w:rsid w:val="00897F11"/>
    <w:rsid w:val="008A01B6"/>
    <w:rsid w:val="008A1450"/>
    <w:rsid w:val="008A2565"/>
    <w:rsid w:val="008A28EE"/>
    <w:rsid w:val="008A2FD2"/>
    <w:rsid w:val="008A5AA5"/>
    <w:rsid w:val="008A7BF1"/>
    <w:rsid w:val="008B039D"/>
    <w:rsid w:val="008B171D"/>
    <w:rsid w:val="008B3F8A"/>
    <w:rsid w:val="008B4E92"/>
    <w:rsid w:val="008B5207"/>
    <w:rsid w:val="008B5612"/>
    <w:rsid w:val="008B5E9D"/>
    <w:rsid w:val="008C1321"/>
    <w:rsid w:val="008D431C"/>
    <w:rsid w:val="008D4D14"/>
    <w:rsid w:val="008E015B"/>
    <w:rsid w:val="008E56F7"/>
    <w:rsid w:val="008E7001"/>
    <w:rsid w:val="008F08DC"/>
    <w:rsid w:val="008F12CC"/>
    <w:rsid w:val="008F71C6"/>
    <w:rsid w:val="009003C0"/>
    <w:rsid w:val="009021D0"/>
    <w:rsid w:val="00902BF4"/>
    <w:rsid w:val="00902F41"/>
    <w:rsid w:val="00903F47"/>
    <w:rsid w:val="0090409B"/>
    <w:rsid w:val="009040E4"/>
    <w:rsid w:val="00905ED7"/>
    <w:rsid w:val="00913F6D"/>
    <w:rsid w:val="009141DE"/>
    <w:rsid w:val="0091621B"/>
    <w:rsid w:val="009165FE"/>
    <w:rsid w:val="00916F2F"/>
    <w:rsid w:val="009208AB"/>
    <w:rsid w:val="00920C8B"/>
    <w:rsid w:val="00921D53"/>
    <w:rsid w:val="00922C67"/>
    <w:rsid w:val="00922CED"/>
    <w:rsid w:val="0092500B"/>
    <w:rsid w:val="00931F18"/>
    <w:rsid w:val="009371E5"/>
    <w:rsid w:val="00940862"/>
    <w:rsid w:val="00940B56"/>
    <w:rsid w:val="009412BD"/>
    <w:rsid w:val="00942266"/>
    <w:rsid w:val="009462EB"/>
    <w:rsid w:val="0094694D"/>
    <w:rsid w:val="0094708C"/>
    <w:rsid w:val="009525A7"/>
    <w:rsid w:val="00952694"/>
    <w:rsid w:val="00957236"/>
    <w:rsid w:val="0096022A"/>
    <w:rsid w:val="00961E98"/>
    <w:rsid w:val="00964650"/>
    <w:rsid w:val="00965A5A"/>
    <w:rsid w:val="00975E08"/>
    <w:rsid w:val="00975E1C"/>
    <w:rsid w:val="00977C2B"/>
    <w:rsid w:val="0098004E"/>
    <w:rsid w:val="009805B9"/>
    <w:rsid w:val="00987BA6"/>
    <w:rsid w:val="00992FDC"/>
    <w:rsid w:val="00997783"/>
    <w:rsid w:val="009A12F8"/>
    <w:rsid w:val="009A2A10"/>
    <w:rsid w:val="009A71A2"/>
    <w:rsid w:val="009B1FB5"/>
    <w:rsid w:val="009C12FD"/>
    <w:rsid w:val="009C69E2"/>
    <w:rsid w:val="009C6B6C"/>
    <w:rsid w:val="009D06B9"/>
    <w:rsid w:val="009D301C"/>
    <w:rsid w:val="009D31EC"/>
    <w:rsid w:val="009E2665"/>
    <w:rsid w:val="009E4167"/>
    <w:rsid w:val="009E455A"/>
    <w:rsid w:val="009E4EA7"/>
    <w:rsid w:val="009E4FB8"/>
    <w:rsid w:val="009F12E6"/>
    <w:rsid w:val="009F6CB6"/>
    <w:rsid w:val="00A0199C"/>
    <w:rsid w:val="00A021F8"/>
    <w:rsid w:val="00A02DA3"/>
    <w:rsid w:val="00A02E3C"/>
    <w:rsid w:val="00A03655"/>
    <w:rsid w:val="00A05177"/>
    <w:rsid w:val="00A06255"/>
    <w:rsid w:val="00A105EC"/>
    <w:rsid w:val="00A124C3"/>
    <w:rsid w:val="00A137CD"/>
    <w:rsid w:val="00A15E78"/>
    <w:rsid w:val="00A22001"/>
    <w:rsid w:val="00A222CB"/>
    <w:rsid w:val="00A246E1"/>
    <w:rsid w:val="00A25B7D"/>
    <w:rsid w:val="00A276D8"/>
    <w:rsid w:val="00A305DD"/>
    <w:rsid w:val="00A311A3"/>
    <w:rsid w:val="00A3211B"/>
    <w:rsid w:val="00A34607"/>
    <w:rsid w:val="00A35408"/>
    <w:rsid w:val="00A417C6"/>
    <w:rsid w:val="00A425F3"/>
    <w:rsid w:val="00A44B27"/>
    <w:rsid w:val="00A45E32"/>
    <w:rsid w:val="00A46950"/>
    <w:rsid w:val="00A46958"/>
    <w:rsid w:val="00A471CC"/>
    <w:rsid w:val="00A505B4"/>
    <w:rsid w:val="00A537BD"/>
    <w:rsid w:val="00A56914"/>
    <w:rsid w:val="00A62514"/>
    <w:rsid w:val="00A653B2"/>
    <w:rsid w:val="00A65990"/>
    <w:rsid w:val="00A65EFA"/>
    <w:rsid w:val="00A70DDC"/>
    <w:rsid w:val="00A7319E"/>
    <w:rsid w:val="00A76E62"/>
    <w:rsid w:val="00A77AC6"/>
    <w:rsid w:val="00A77CC5"/>
    <w:rsid w:val="00A8091C"/>
    <w:rsid w:val="00A81959"/>
    <w:rsid w:val="00A8207D"/>
    <w:rsid w:val="00A84E7B"/>
    <w:rsid w:val="00A865A9"/>
    <w:rsid w:val="00A86E65"/>
    <w:rsid w:val="00A87245"/>
    <w:rsid w:val="00A87E12"/>
    <w:rsid w:val="00A9430E"/>
    <w:rsid w:val="00A9726D"/>
    <w:rsid w:val="00AA0083"/>
    <w:rsid w:val="00AA3534"/>
    <w:rsid w:val="00AA632F"/>
    <w:rsid w:val="00AA7BA4"/>
    <w:rsid w:val="00AB12AE"/>
    <w:rsid w:val="00AB27C7"/>
    <w:rsid w:val="00AB446B"/>
    <w:rsid w:val="00AB47D6"/>
    <w:rsid w:val="00AB688A"/>
    <w:rsid w:val="00AB7B5D"/>
    <w:rsid w:val="00AC00CE"/>
    <w:rsid w:val="00AC0246"/>
    <w:rsid w:val="00AC207D"/>
    <w:rsid w:val="00AC3281"/>
    <w:rsid w:val="00AC341F"/>
    <w:rsid w:val="00AC3450"/>
    <w:rsid w:val="00AC5EA2"/>
    <w:rsid w:val="00AD20D8"/>
    <w:rsid w:val="00AD400C"/>
    <w:rsid w:val="00AD4960"/>
    <w:rsid w:val="00AD4F6D"/>
    <w:rsid w:val="00AD535F"/>
    <w:rsid w:val="00AD561B"/>
    <w:rsid w:val="00AD695B"/>
    <w:rsid w:val="00AD6B5F"/>
    <w:rsid w:val="00AD79B6"/>
    <w:rsid w:val="00AD7BE4"/>
    <w:rsid w:val="00AE067F"/>
    <w:rsid w:val="00AE3F30"/>
    <w:rsid w:val="00AE61DC"/>
    <w:rsid w:val="00AF199E"/>
    <w:rsid w:val="00AF280E"/>
    <w:rsid w:val="00AF44FA"/>
    <w:rsid w:val="00AF75A0"/>
    <w:rsid w:val="00B01210"/>
    <w:rsid w:val="00B01C3D"/>
    <w:rsid w:val="00B039F9"/>
    <w:rsid w:val="00B03EEB"/>
    <w:rsid w:val="00B05109"/>
    <w:rsid w:val="00B102DB"/>
    <w:rsid w:val="00B115AA"/>
    <w:rsid w:val="00B13738"/>
    <w:rsid w:val="00B1737D"/>
    <w:rsid w:val="00B2478C"/>
    <w:rsid w:val="00B302B5"/>
    <w:rsid w:val="00B315BD"/>
    <w:rsid w:val="00B31A45"/>
    <w:rsid w:val="00B332D3"/>
    <w:rsid w:val="00B35379"/>
    <w:rsid w:val="00B35C94"/>
    <w:rsid w:val="00B373C6"/>
    <w:rsid w:val="00B3764A"/>
    <w:rsid w:val="00B42904"/>
    <w:rsid w:val="00B43451"/>
    <w:rsid w:val="00B43A28"/>
    <w:rsid w:val="00B50373"/>
    <w:rsid w:val="00B52A9F"/>
    <w:rsid w:val="00B5412F"/>
    <w:rsid w:val="00B5659B"/>
    <w:rsid w:val="00B56DB9"/>
    <w:rsid w:val="00B625BC"/>
    <w:rsid w:val="00B633A6"/>
    <w:rsid w:val="00B64AA7"/>
    <w:rsid w:val="00B6566A"/>
    <w:rsid w:val="00B66457"/>
    <w:rsid w:val="00B67571"/>
    <w:rsid w:val="00B678A0"/>
    <w:rsid w:val="00B678D5"/>
    <w:rsid w:val="00B702B7"/>
    <w:rsid w:val="00B70FCF"/>
    <w:rsid w:val="00B71824"/>
    <w:rsid w:val="00B742AE"/>
    <w:rsid w:val="00B7675B"/>
    <w:rsid w:val="00B80ED4"/>
    <w:rsid w:val="00B816F9"/>
    <w:rsid w:val="00B839DF"/>
    <w:rsid w:val="00B871E1"/>
    <w:rsid w:val="00B911F7"/>
    <w:rsid w:val="00B92AAB"/>
    <w:rsid w:val="00B93863"/>
    <w:rsid w:val="00B970C1"/>
    <w:rsid w:val="00BA16EB"/>
    <w:rsid w:val="00BA1C54"/>
    <w:rsid w:val="00BA399C"/>
    <w:rsid w:val="00BA3DD1"/>
    <w:rsid w:val="00BA47BD"/>
    <w:rsid w:val="00BA5A8C"/>
    <w:rsid w:val="00BB0F4F"/>
    <w:rsid w:val="00BB27A6"/>
    <w:rsid w:val="00BB3B27"/>
    <w:rsid w:val="00BB431D"/>
    <w:rsid w:val="00BB452E"/>
    <w:rsid w:val="00BB59D1"/>
    <w:rsid w:val="00BB619F"/>
    <w:rsid w:val="00BC14A9"/>
    <w:rsid w:val="00BC57AE"/>
    <w:rsid w:val="00BC5961"/>
    <w:rsid w:val="00BC5AA4"/>
    <w:rsid w:val="00BD1665"/>
    <w:rsid w:val="00BD17F2"/>
    <w:rsid w:val="00BE08D2"/>
    <w:rsid w:val="00BE44BB"/>
    <w:rsid w:val="00BF10F0"/>
    <w:rsid w:val="00BF1F67"/>
    <w:rsid w:val="00BF4387"/>
    <w:rsid w:val="00BF4F91"/>
    <w:rsid w:val="00BF63C3"/>
    <w:rsid w:val="00BF77AB"/>
    <w:rsid w:val="00BF7955"/>
    <w:rsid w:val="00C00C60"/>
    <w:rsid w:val="00C0231C"/>
    <w:rsid w:val="00C03262"/>
    <w:rsid w:val="00C046F1"/>
    <w:rsid w:val="00C04B28"/>
    <w:rsid w:val="00C04D5E"/>
    <w:rsid w:val="00C0777A"/>
    <w:rsid w:val="00C1032D"/>
    <w:rsid w:val="00C10C75"/>
    <w:rsid w:val="00C10F02"/>
    <w:rsid w:val="00C11AFE"/>
    <w:rsid w:val="00C1452F"/>
    <w:rsid w:val="00C200E5"/>
    <w:rsid w:val="00C21F2F"/>
    <w:rsid w:val="00C22865"/>
    <w:rsid w:val="00C26C6F"/>
    <w:rsid w:val="00C31E25"/>
    <w:rsid w:val="00C337CB"/>
    <w:rsid w:val="00C35757"/>
    <w:rsid w:val="00C40498"/>
    <w:rsid w:val="00C41A0D"/>
    <w:rsid w:val="00C44FAC"/>
    <w:rsid w:val="00C4593B"/>
    <w:rsid w:val="00C465EA"/>
    <w:rsid w:val="00C47ECF"/>
    <w:rsid w:val="00C5084E"/>
    <w:rsid w:val="00C51067"/>
    <w:rsid w:val="00C53891"/>
    <w:rsid w:val="00C65508"/>
    <w:rsid w:val="00C65B22"/>
    <w:rsid w:val="00C67FBC"/>
    <w:rsid w:val="00C702F6"/>
    <w:rsid w:val="00C73199"/>
    <w:rsid w:val="00C76B5B"/>
    <w:rsid w:val="00C773B6"/>
    <w:rsid w:val="00C8002E"/>
    <w:rsid w:val="00C827A3"/>
    <w:rsid w:val="00C84EED"/>
    <w:rsid w:val="00C86324"/>
    <w:rsid w:val="00C937F7"/>
    <w:rsid w:val="00C93AC1"/>
    <w:rsid w:val="00CB0A59"/>
    <w:rsid w:val="00CB1361"/>
    <w:rsid w:val="00CB1CDF"/>
    <w:rsid w:val="00CB2DB7"/>
    <w:rsid w:val="00CB5F9B"/>
    <w:rsid w:val="00CB700D"/>
    <w:rsid w:val="00CC32EE"/>
    <w:rsid w:val="00CC4E95"/>
    <w:rsid w:val="00CC71A3"/>
    <w:rsid w:val="00CC7B54"/>
    <w:rsid w:val="00CD0E83"/>
    <w:rsid w:val="00CD194A"/>
    <w:rsid w:val="00CD1DD5"/>
    <w:rsid w:val="00CD1F11"/>
    <w:rsid w:val="00CE0491"/>
    <w:rsid w:val="00CE1419"/>
    <w:rsid w:val="00CE2C08"/>
    <w:rsid w:val="00CE3275"/>
    <w:rsid w:val="00CE5189"/>
    <w:rsid w:val="00CE7A42"/>
    <w:rsid w:val="00CF07B2"/>
    <w:rsid w:val="00CF7143"/>
    <w:rsid w:val="00D0120B"/>
    <w:rsid w:val="00D03511"/>
    <w:rsid w:val="00D038DF"/>
    <w:rsid w:val="00D06E6C"/>
    <w:rsid w:val="00D06F1E"/>
    <w:rsid w:val="00D1180D"/>
    <w:rsid w:val="00D11CBB"/>
    <w:rsid w:val="00D1208F"/>
    <w:rsid w:val="00D12D29"/>
    <w:rsid w:val="00D147A3"/>
    <w:rsid w:val="00D20C89"/>
    <w:rsid w:val="00D21C08"/>
    <w:rsid w:val="00D26EE0"/>
    <w:rsid w:val="00D27082"/>
    <w:rsid w:val="00D3497B"/>
    <w:rsid w:val="00D34B1B"/>
    <w:rsid w:val="00D362FB"/>
    <w:rsid w:val="00D37979"/>
    <w:rsid w:val="00D41C27"/>
    <w:rsid w:val="00D42B26"/>
    <w:rsid w:val="00D43835"/>
    <w:rsid w:val="00D44B9D"/>
    <w:rsid w:val="00D46C44"/>
    <w:rsid w:val="00D47545"/>
    <w:rsid w:val="00D50F59"/>
    <w:rsid w:val="00D52FFC"/>
    <w:rsid w:val="00D5317B"/>
    <w:rsid w:val="00D53C2D"/>
    <w:rsid w:val="00D56329"/>
    <w:rsid w:val="00D60871"/>
    <w:rsid w:val="00D62A16"/>
    <w:rsid w:val="00D63BF3"/>
    <w:rsid w:val="00D653A5"/>
    <w:rsid w:val="00D717F3"/>
    <w:rsid w:val="00D720F4"/>
    <w:rsid w:val="00D72CE8"/>
    <w:rsid w:val="00D72E5A"/>
    <w:rsid w:val="00D7311F"/>
    <w:rsid w:val="00D74D6A"/>
    <w:rsid w:val="00D75DA0"/>
    <w:rsid w:val="00D7716D"/>
    <w:rsid w:val="00D776CC"/>
    <w:rsid w:val="00D77B45"/>
    <w:rsid w:val="00D82769"/>
    <w:rsid w:val="00D84203"/>
    <w:rsid w:val="00D84243"/>
    <w:rsid w:val="00D85C01"/>
    <w:rsid w:val="00D85FEE"/>
    <w:rsid w:val="00D9037A"/>
    <w:rsid w:val="00D91130"/>
    <w:rsid w:val="00D95315"/>
    <w:rsid w:val="00D97958"/>
    <w:rsid w:val="00DA1084"/>
    <w:rsid w:val="00DA33F4"/>
    <w:rsid w:val="00DA3C08"/>
    <w:rsid w:val="00DA4897"/>
    <w:rsid w:val="00DA58DD"/>
    <w:rsid w:val="00DA672B"/>
    <w:rsid w:val="00DB0E50"/>
    <w:rsid w:val="00DB1C06"/>
    <w:rsid w:val="00DB2F35"/>
    <w:rsid w:val="00DB400E"/>
    <w:rsid w:val="00DB4D05"/>
    <w:rsid w:val="00DB7121"/>
    <w:rsid w:val="00DB7132"/>
    <w:rsid w:val="00DC07CE"/>
    <w:rsid w:val="00DC1567"/>
    <w:rsid w:val="00DC1BB1"/>
    <w:rsid w:val="00DC2C23"/>
    <w:rsid w:val="00DC3188"/>
    <w:rsid w:val="00DC39ED"/>
    <w:rsid w:val="00DC44EA"/>
    <w:rsid w:val="00DD09C0"/>
    <w:rsid w:val="00DD541A"/>
    <w:rsid w:val="00DD7A3D"/>
    <w:rsid w:val="00DE002A"/>
    <w:rsid w:val="00DE1749"/>
    <w:rsid w:val="00DE32EC"/>
    <w:rsid w:val="00DE621D"/>
    <w:rsid w:val="00DF2DD1"/>
    <w:rsid w:val="00DF5474"/>
    <w:rsid w:val="00E05225"/>
    <w:rsid w:val="00E06B45"/>
    <w:rsid w:val="00E0763C"/>
    <w:rsid w:val="00E10CB7"/>
    <w:rsid w:val="00E13A6D"/>
    <w:rsid w:val="00E230E3"/>
    <w:rsid w:val="00E25B6E"/>
    <w:rsid w:val="00E310B5"/>
    <w:rsid w:val="00E357C3"/>
    <w:rsid w:val="00E406E6"/>
    <w:rsid w:val="00E43B1B"/>
    <w:rsid w:val="00E446AE"/>
    <w:rsid w:val="00E4575E"/>
    <w:rsid w:val="00E50D79"/>
    <w:rsid w:val="00E52CC8"/>
    <w:rsid w:val="00E5358B"/>
    <w:rsid w:val="00E5615F"/>
    <w:rsid w:val="00E5642B"/>
    <w:rsid w:val="00E56688"/>
    <w:rsid w:val="00E5742E"/>
    <w:rsid w:val="00E612A5"/>
    <w:rsid w:val="00E636F3"/>
    <w:rsid w:val="00E65AB9"/>
    <w:rsid w:val="00E67D5D"/>
    <w:rsid w:val="00E7008D"/>
    <w:rsid w:val="00E70D54"/>
    <w:rsid w:val="00E71B0D"/>
    <w:rsid w:val="00E71F7B"/>
    <w:rsid w:val="00E758B7"/>
    <w:rsid w:val="00E76F89"/>
    <w:rsid w:val="00E77D26"/>
    <w:rsid w:val="00E80360"/>
    <w:rsid w:val="00E817AC"/>
    <w:rsid w:val="00E86FD5"/>
    <w:rsid w:val="00E90290"/>
    <w:rsid w:val="00E92FDB"/>
    <w:rsid w:val="00E93810"/>
    <w:rsid w:val="00E96E22"/>
    <w:rsid w:val="00EA29BC"/>
    <w:rsid w:val="00EA4411"/>
    <w:rsid w:val="00EA4F07"/>
    <w:rsid w:val="00EA6202"/>
    <w:rsid w:val="00EA6C8E"/>
    <w:rsid w:val="00EA7A53"/>
    <w:rsid w:val="00EB3E0D"/>
    <w:rsid w:val="00EB4069"/>
    <w:rsid w:val="00EB52F8"/>
    <w:rsid w:val="00EB5D86"/>
    <w:rsid w:val="00EC0D58"/>
    <w:rsid w:val="00EC2ECF"/>
    <w:rsid w:val="00EC59E5"/>
    <w:rsid w:val="00EC6BEC"/>
    <w:rsid w:val="00ED40EE"/>
    <w:rsid w:val="00ED5AB6"/>
    <w:rsid w:val="00ED77A8"/>
    <w:rsid w:val="00ED7B10"/>
    <w:rsid w:val="00EE23D8"/>
    <w:rsid w:val="00EE51C3"/>
    <w:rsid w:val="00EE63E5"/>
    <w:rsid w:val="00EF165B"/>
    <w:rsid w:val="00EF2993"/>
    <w:rsid w:val="00EF6297"/>
    <w:rsid w:val="00F007AB"/>
    <w:rsid w:val="00F00F96"/>
    <w:rsid w:val="00F013A4"/>
    <w:rsid w:val="00F020C8"/>
    <w:rsid w:val="00F024A1"/>
    <w:rsid w:val="00F0312F"/>
    <w:rsid w:val="00F105DE"/>
    <w:rsid w:val="00F105F4"/>
    <w:rsid w:val="00F11635"/>
    <w:rsid w:val="00F11E30"/>
    <w:rsid w:val="00F139BD"/>
    <w:rsid w:val="00F1452B"/>
    <w:rsid w:val="00F14AC3"/>
    <w:rsid w:val="00F17292"/>
    <w:rsid w:val="00F17DD3"/>
    <w:rsid w:val="00F211AA"/>
    <w:rsid w:val="00F2220B"/>
    <w:rsid w:val="00F31914"/>
    <w:rsid w:val="00F37C84"/>
    <w:rsid w:val="00F40AD5"/>
    <w:rsid w:val="00F40E0D"/>
    <w:rsid w:val="00F42C83"/>
    <w:rsid w:val="00F43577"/>
    <w:rsid w:val="00F43627"/>
    <w:rsid w:val="00F44D23"/>
    <w:rsid w:val="00F44FF7"/>
    <w:rsid w:val="00F459D8"/>
    <w:rsid w:val="00F534FA"/>
    <w:rsid w:val="00F54DD4"/>
    <w:rsid w:val="00F54E5E"/>
    <w:rsid w:val="00F55233"/>
    <w:rsid w:val="00F55467"/>
    <w:rsid w:val="00F60A23"/>
    <w:rsid w:val="00F628DB"/>
    <w:rsid w:val="00F62B43"/>
    <w:rsid w:val="00F62E63"/>
    <w:rsid w:val="00F651C9"/>
    <w:rsid w:val="00F65FE1"/>
    <w:rsid w:val="00F70D11"/>
    <w:rsid w:val="00F71415"/>
    <w:rsid w:val="00F71990"/>
    <w:rsid w:val="00F73900"/>
    <w:rsid w:val="00F73BE1"/>
    <w:rsid w:val="00F74999"/>
    <w:rsid w:val="00F752EA"/>
    <w:rsid w:val="00F818BB"/>
    <w:rsid w:val="00F85356"/>
    <w:rsid w:val="00F85D75"/>
    <w:rsid w:val="00F9333D"/>
    <w:rsid w:val="00F96C9D"/>
    <w:rsid w:val="00F9727B"/>
    <w:rsid w:val="00FA002A"/>
    <w:rsid w:val="00FA0319"/>
    <w:rsid w:val="00FA2A62"/>
    <w:rsid w:val="00FA2FC9"/>
    <w:rsid w:val="00FA3177"/>
    <w:rsid w:val="00FA3592"/>
    <w:rsid w:val="00FA3D7C"/>
    <w:rsid w:val="00FA4BB1"/>
    <w:rsid w:val="00FA5E3E"/>
    <w:rsid w:val="00FA6381"/>
    <w:rsid w:val="00FA7A3F"/>
    <w:rsid w:val="00FB4631"/>
    <w:rsid w:val="00FB59F6"/>
    <w:rsid w:val="00FB655B"/>
    <w:rsid w:val="00FB6853"/>
    <w:rsid w:val="00FB6AB0"/>
    <w:rsid w:val="00FC0565"/>
    <w:rsid w:val="00FC1759"/>
    <w:rsid w:val="00FC2C2E"/>
    <w:rsid w:val="00FC3875"/>
    <w:rsid w:val="00FC6BA9"/>
    <w:rsid w:val="00FD0DE7"/>
    <w:rsid w:val="00FD0ED8"/>
    <w:rsid w:val="00FD1806"/>
    <w:rsid w:val="00FD440D"/>
    <w:rsid w:val="00FE0B08"/>
    <w:rsid w:val="00FE190F"/>
    <w:rsid w:val="00FE231A"/>
    <w:rsid w:val="00FE4788"/>
    <w:rsid w:val="00FE633C"/>
    <w:rsid w:val="00FE7118"/>
    <w:rsid w:val="00FE759E"/>
    <w:rsid w:val="00FE7F9A"/>
    <w:rsid w:val="00FF0351"/>
    <w:rsid w:val="00FF2829"/>
    <w:rsid w:val="00FF652F"/>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C3"/>
    <w:rPr>
      <w:noProof/>
    </w:rPr>
  </w:style>
  <w:style w:type="paragraph" w:styleId="Titlu1">
    <w:name w:val="heading 1"/>
    <w:basedOn w:val="Listparagraf"/>
    <w:next w:val="Normal"/>
    <w:link w:val="Titlu1Caracter"/>
    <w:uiPriority w:val="9"/>
    <w:qFormat/>
    <w:rsid w:val="003210D3"/>
    <w:pPr>
      <w:numPr>
        <w:numId w:val="54"/>
      </w:numPr>
      <w:spacing w:after="200"/>
      <w:jc w:val="both"/>
      <w:outlineLvl w:val="0"/>
    </w:pPr>
    <w:rPr>
      <w:rFonts w:ascii="Trebuchet MS" w:eastAsiaTheme="minorHAnsi" w:hAnsi="Trebuchet MS"/>
      <w:b/>
      <w:noProof w:val="0"/>
      <w:color w:val="000000" w:themeColor="text1"/>
      <w:kern w:val="2"/>
      <w:sz w:val="24"/>
      <w:szCs w:val="24"/>
      <w:lang w:eastAsia="en-US"/>
      <w14:ligatures w14:val="standardContextual"/>
    </w:rPr>
  </w:style>
  <w:style w:type="paragraph" w:styleId="Titlu3">
    <w:name w:val="heading 3"/>
    <w:basedOn w:val="Normal"/>
    <w:next w:val="Normal"/>
    <w:link w:val="Titlu3Caracter"/>
    <w:uiPriority w:val="9"/>
    <w:semiHidden/>
    <w:unhideWhenUsed/>
    <w:qFormat/>
    <w:rsid w:val="00EA62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82A0C"/>
    <w:pPr>
      <w:ind w:left="720"/>
      <w:contextualSpacing/>
    </w:pPr>
  </w:style>
  <w:style w:type="paragraph" w:styleId="Antet">
    <w:name w:val="header"/>
    <w:basedOn w:val="Normal"/>
    <w:link w:val="AntetCaracter"/>
    <w:uiPriority w:val="99"/>
    <w:unhideWhenUsed/>
    <w:rsid w:val="00AA7BA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A7BA4"/>
    <w:rPr>
      <w:lang w:val="en-US"/>
    </w:rPr>
  </w:style>
  <w:style w:type="paragraph" w:styleId="Subsol">
    <w:name w:val="footer"/>
    <w:basedOn w:val="Normal"/>
    <w:link w:val="SubsolCaracter"/>
    <w:uiPriority w:val="99"/>
    <w:unhideWhenUsed/>
    <w:rsid w:val="00AA7BA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A7BA4"/>
    <w:rPr>
      <w:lang w:val="en-US"/>
    </w:rPr>
  </w:style>
  <w:style w:type="character" w:styleId="Hyperlink">
    <w:name w:val="Hyperlink"/>
    <w:basedOn w:val="Fontdeparagrafimplicit"/>
    <w:uiPriority w:val="99"/>
    <w:unhideWhenUsed/>
    <w:rsid w:val="00E817AC"/>
    <w:rPr>
      <w:color w:val="0563C1" w:themeColor="hyperlink"/>
      <w:u w:val="single"/>
    </w:rPr>
  </w:style>
  <w:style w:type="paragraph" w:styleId="TextnBalon">
    <w:name w:val="Balloon Text"/>
    <w:basedOn w:val="Normal"/>
    <w:link w:val="TextnBalonCaracter"/>
    <w:uiPriority w:val="99"/>
    <w:semiHidden/>
    <w:unhideWhenUsed/>
    <w:rsid w:val="007B764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B7643"/>
    <w:rPr>
      <w:rFonts w:ascii="Segoe UI" w:hAnsi="Segoe UI" w:cs="Segoe UI"/>
      <w:sz w:val="18"/>
      <w:szCs w:val="18"/>
      <w:lang w:val="en-US"/>
    </w:rPr>
  </w:style>
  <w:style w:type="table" w:styleId="Tabelgril">
    <w:name w:val="Table Grid"/>
    <w:basedOn w:val="TabelNormal"/>
    <w:uiPriority w:val="39"/>
    <w:rsid w:val="00B4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CE2C08"/>
    <w:rPr>
      <w:b/>
      <w:bCs/>
    </w:rPr>
  </w:style>
  <w:style w:type="paragraph" w:styleId="NormalWeb">
    <w:name w:val="Normal (Web)"/>
    <w:basedOn w:val="Normal"/>
    <w:uiPriority w:val="99"/>
    <w:unhideWhenUsed/>
    <w:rsid w:val="00F211A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MeniuneNerezolvat">
    <w:name w:val="Unresolved Mention"/>
    <w:basedOn w:val="Fontdeparagrafimplicit"/>
    <w:uiPriority w:val="99"/>
    <w:semiHidden/>
    <w:unhideWhenUsed/>
    <w:rsid w:val="00F40AD5"/>
    <w:rPr>
      <w:color w:val="605E5C"/>
      <w:shd w:val="clear" w:color="auto" w:fill="E1DFDD"/>
    </w:rPr>
  </w:style>
  <w:style w:type="paragraph" w:styleId="Revizuire">
    <w:name w:val="Revision"/>
    <w:hidden/>
    <w:uiPriority w:val="99"/>
    <w:semiHidden/>
    <w:rsid w:val="00A8207D"/>
    <w:pPr>
      <w:spacing w:after="0" w:line="240" w:lineRule="auto"/>
    </w:pPr>
    <w:rPr>
      <w:lang w:val="en-US"/>
    </w:rPr>
  </w:style>
  <w:style w:type="character" w:styleId="Referincomentariu">
    <w:name w:val="annotation reference"/>
    <w:basedOn w:val="Fontdeparagrafimplicit"/>
    <w:uiPriority w:val="99"/>
    <w:semiHidden/>
    <w:unhideWhenUsed/>
    <w:rsid w:val="00820122"/>
    <w:rPr>
      <w:sz w:val="16"/>
      <w:szCs w:val="16"/>
    </w:rPr>
  </w:style>
  <w:style w:type="paragraph" w:styleId="Textcomentariu">
    <w:name w:val="annotation text"/>
    <w:basedOn w:val="Normal"/>
    <w:link w:val="TextcomentariuCaracter"/>
    <w:uiPriority w:val="99"/>
    <w:unhideWhenUsed/>
    <w:rsid w:val="00820122"/>
    <w:pPr>
      <w:spacing w:line="240" w:lineRule="auto"/>
    </w:pPr>
    <w:rPr>
      <w:sz w:val="20"/>
      <w:szCs w:val="20"/>
    </w:rPr>
  </w:style>
  <w:style w:type="character" w:customStyle="1" w:styleId="TextcomentariuCaracter">
    <w:name w:val="Text comentariu Caracter"/>
    <w:basedOn w:val="Fontdeparagrafimplicit"/>
    <w:link w:val="Textcomentariu"/>
    <w:uiPriority w:val="99"/>
    <w:rsid w:val="00820122"/>
    <w:rPr>
      <w:sz w:val="20"/>
      <w:szCs w:val="20"/>
      <w:lang w:val="en-US"/>
    </w:rPr>
  </w:style>
  <w:style w:type="paragraph" w:styleId="SubiectComentariu">
    <w:name w:val="annotation subject"/>
    <w:basedOn w:val="Textcomentariu"/>
    <w:next w:val="Textcomentariu"/>
    <w:link w:val="SubiectComentariuCaracter"/>
    <w:uiPriority w:val="99"/>
    <w:semiHidden/>
    <w:unhideWhenUsed/>
    <w:rsid w:val="00820122"/>
    <w:rPr>
      <w:b/>
      <w:bCs/>
    </w:rPr>
  </w:style>
  <w:style w:type="character" w:customStyle="1" w:styleId="SubiectComentariuCaracter">
    <w:name w:val="Subiect Comentariu Caracter"/>
    <w:basedOn w:val="TextcomentariuCaracter"/>
    <w:link w:val="SubiectComentariu"/>
    <w:uiPriority w:val="99"/>
    <w:semiHidden/>
    <w:rsid w:val="00820122"/>
    <w:rPr>
      <w:b/>
      <w:bCs/>
      <w:sz w:val="20"/>
      <w:szCs w:val="20"/>
      <w:lang w:val="en-US"/>
    </w:rPr>
  </w:style>
  <w:style w:type="table" w:customStyle="1" w:styleId="TableGrid1">
    <w:name w:val="Table Grid1"/>
    <w:basedOn w:val="TabelNormal"/>
    <w:next w:val="Tabelgril"/>
    <w:uiPriority w:val="39"/>
    <w:rsid w:val="006F5940"/>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3210D3"/>
    <w:rPr>
      <w:rFonts w:ascii="Trebuchet MS" w:eastAsiaTheme="minorHAnsi" w:hAnsi="Trebuchet MS"/>
      <w:b/>
      <w:color w:val="000000" w:themeColor="text1"/>
      <w:kern w:val="2"/>
      <w:sz w:val="24"/>
      <w:szCs w:val="24"/>
      <w:lang w:eastAsia="en-US"/>
      <w14:ligatures w14:val="standardContextual"/>
    </w:rPr>
  </w:style>
  <w:style w:type="character" w:customStyle="1" w:styleId="Titlu3Caracter">
    <w:name w:val="Titlu 3 Caracter"/>
    <w:basedOn w:val="Fontdeparagrafimplicit"/>
    <w:link w:val="Titlu3"/>
    <w:uiPriority w:val="9"/>
    <w:semiHidden/>
    <w:rsid w:val="00EA6202"/>
    <w:rPr>
      <w:rFonts w:asciiTheme="majorHAnsi" w:eastAsiaTheme="majorEastAsia" w:hAnsiTheme="majorHAnsi" w:cstheme="majorBidi"/>
      <w:noProof/>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2361">
      <w:bodyDiv w:val="1"/>
      <w:marLeft w:val="0"/>
      <w:marRight w:val="0"/>
      <w:marTop w:val="0"/>
      <w:marBottom w:val="0"/>
      <w:divBdr>
        <w:top w:val="none" w:sz="0" w:space="0" w:color="auto"/>
        <w:left w:val="none" w:sz="0" w:space="0" w:color="auto"/>
        <w:bottom w:val="none" w:sz="0" w:space="0" w:color="auto"/>
        <w:right w:val="none" w:sz="0" w:space="0" w:color="auto"/>
      </w:divBdr>
    </w:div>
    <w:div w:id="82341366">
      <w:bodyDiv w:val="1"/>
      <w:marLeft w:val="0"/>
      <w:marRight w:val="0"/>
      <w:marTop w:val="0"/>
      <w:marBottom w:val="0"/>
      <w:divBdr>
        <w:top w:val="none" w:sz="0" w:space="0" w:color="auto"/>
        <w:left w:val="none" w:sz="0" w:space="0" w:color="auto"/>
        <w:bottom w:val="none" w:sz="0" w:space="0" w:color="auto"/>
        <w:right w:val="none" w:sz="0" w:space="0" w:color="auto"/>
      </w:divBdr>
    </w:div>
    <w:div w:id="124469498">
      <w:bodyDiv w:val="1"/>
      <w:marLeft w:val="0"/>
      <w:marRight w:val="0"/>
      <w:marTop w:val="0"/>
      <w:marBottom w:val="0"/>
      <w:divBdr>
        <w:top w:val="none" w:sz="0" w:space="0" w:color="auto"/>
        <w:left w:val="none" w:sz="0" w:space="0" w:color="auto"/>
        <w:bottom w:val="none" w:sz="0" w:space="0" w:color="auto"/>
        <w:right w:val="none" w:sz="0" w:space="0" w:color="auto"/>
      </w:divBdr>
    </w:div>
    <w:div w:id="139732507">
      <w:bodyDiv w:val="1"/>
      <w:marLeft w:val="0"/>
      <w:marRight w:val="0"/>
      <w:marTop w:val="0"/>
      <w:marBottom w:val="0"/>
      <w:divBdr>
        <w:top w:val="none" w:sz="0" w:space="0" w:color="auto"/>
        <w:left w:val="none" w:sz="0" w:space="0" w:color="auto"/>
        <w:bottom w:val="none" w:sz="0" w:space="0" w:color="auto"/>
        <w:right w:val="none" w:sz="0" w:space="0" w:color="auto"/>
      </w:divBdr>
    </w:div>
    <w:div w:id="163251105">
      <w:bodyDiv w:val="1"/>
      <w:marLeft w:val="0"/>
      <w:marRight w:val="0"/>
      <w:marTop w:val="0"/>
      <w:marBottom w:val="0"/>
      <w:divBdr>
        <w:top w:val="none" w:sz="0" w:space="0" w:color="auto"/>
        <w:left w:val="none" w:sz="0" w:space="0" w:color="auto"/>
        <w:bottom w:val="none" w:sz="0" w:space="0" w:color="auto"/>
        <w:right w:val="none" w:sz="0" w:space="0" w:color="auto"/>
      </w:divBdr>
    </w:div>
    <w:div w:id="180047001">
      <w:bodyDiv w:val="1"/>
      <w:marLeft w:val="0"/>
      <w:marRight w:val="0"/>
      <w:marTop w:val="0"/>
      <w:marBottom w:val="0"/>
      <w:divBdr>
        <w:top w:val="none" w:sz="0" w:space="0" w:color="auto"/>
        <w:left w:val="none" w:sz="0" w:space="0" w:color="auto"/>
        <w:bottom w:val="none" w:sz="0" w:space="0" w:color="auto"/>
        <w:right w:val="none" w:sz="0" w:space="0" w:color="auto"/>
      </w:divBdr>
    </w:div>
    <w:div w:id="214660314">
      <w:bodyDiv w:val="1"/>
      <w:marLeft w:val="0"/>
      <w:marRight w:val="0"/>
      <w:marTop w:val="0"/>
      <w:marBottom w:val="0"/>
      <w:divBdr>
        <w:top w:val="none" w:sz="0" w:space="0" w:color="auto"/>
        <w:left w:val="none" w:sz="0" w:space="0" w:color="auto"/>
        <w:bottom w:val="none" w:sz="0" w:space="0" w:color="auto"/>
        <w:right w:val="none" w:sz="0" w:space="0" w:color="auto"/>
      </w:divBdr>
    </w:div>
    <w:div w:id="257912096">
      <w:bodyDiv w:val="1"/>
      <w:marLeft w:val="0"/>
      <w:marRight w:val="0"/>
      <w:marTop w:val="0"/>
      <w:marBottom w:val="0"/>
      <w:divBdr>
        <w:top w:val="none" w:sz="0" w:space="0" w:color="auto"/>
        <w:left w:val="none" w:sz="0" w:space="0" w:color="auto"/>
        <w:bottom w:val="none" w:sz="0" w:space="0" w:color="auto"/>
        <w:right w:val="none" w:sz="0" w:space="0" w:color="auto"/>
      </w:divBdr>
    </w:div>
    <w:div w:id="294718073">
      <w:bodyDiv w:val="1"/>
      <w:marLeft w:val="0"/>
      <w:marRight w:val="0"/>
      <w:marTop w:val="0"/>
      <w:marBottom w:val="0"/>
      <w:divBdr>
        <w:top w:val="none" w:sz="0" w:space="0" w:color="auto"/>
        <w:left w:val="none" w:sz="0" w:space="0" w:color="auto"/>
        <w:bottom w:val="none" w:sz="0" w:space="0" w:color="auto"/>
        <w:right w:val="none" w:sz="0" w:space="0" w:color="auto"/>
      </w:divBdr>
    </w:div>
    <w:div w:id="349261150">
      <w:bodyDiv w:val="1"/>
      <w:marLeft w:val="0"/>
      <w:marRight w:val="0"/>
      <w:marTop w:val="0"/>
      <w:marBottom w:val="0"/>
      <w:divBdr>
        <w:top w:val="none" w:sz="0" w:space="0" w:color="auto"/>
        <w:left w:val="none" w:sz="0" w:space="0" w:color="auto"/>
        <w:bottom w:val="none" w:sz="0" w:space="0" w:color="auto"/>
        <w:right w:val="none" w:sz="0" w:space="0" w:color="auto"/>
      </w:divBdr>
    </w:div>
    <w:div w:id="405956620">
      <w:bodyDiv w:val="1"/>
      <w:marLeft w:val="0"/>
      <w:marRight w:val="0"/>
      <w:marTop w:val="0"/>
      <w:marBottom w:val="0"/>
      <w:divBdr>
        <w:top w:val="none" w:sz="0" w:space="0" w:color="auto"/>
        <w:left w:val="none" w:sz="0" w:space="0" w:color="auto"/>
        <w:bottom w:val="none" w:sz="0" w:space="0" w:color="auto"/>
        <w:right w:val="none" w:sz="0" w:space="0" w:color="auto"/>
      </w:divBdr>
    </w:div>
    <w:div w:id="550657876">
      <w:bodyDiv w:val="1"/>
      <w:marLeft w:val="0"/>
      <w:marRight w:val="0"/>
      <w:marTop w:val="0"/>
      <w:marBottom w:val="0"/>
      <w:divBdr>
        <w:top w:val="none" w:sz="0" w:space="0" w:color="auto"/>
        <w:left w:val="none" w:sz="0" w:space="0" w:color="auto"/>
        <w:bottom w:val="none" w:sz="0" w:space="0" w:color="auto"/>
        <w:right w:val="none" w:sz="0" w:space="0" w:color="auto"/>
      </w:divBdr>
    </w:div>
    <w:div w:id="598492902">
      <w:bodyDiv w:val="1"/>
      <w:marLeft w:val="0"/>
      <w:marRight w:val="0"/>
      <w:marTop w:val="0"/>
      <w:marBottom w:val="0"/>
      <w:divBdr>
        <w:top w:val="none" w:sz="0" w:space="0" w:color="auto"/>
        <w:left w:val="none" w:sz="0" w:space="0" w:color="auto"/>
        <w:bottom w:val="none" w:sz="0" w:space="0" w:color="auto"/>
        <w:right w:val="none" w:sz="0" w:space="0" w:color="auto"/>
      </w:divBdr>
    </w:div>
    <w:div w:id="680081355">
      <w:bodyDiv w:val="1"/>
      <w:marLeft w:val="0"/>
      <w:marRight w:val="0"/>
      <w:marTop w:val="0"/>
      <w:marBottom w:val="0"/>
      <w:divBdr>
        <w:top w:val="none" w:sz="0" w:space="0" w:color="auto"/>
        <w:left w:val="none" w:sz="0" w:space="0" w:color="auto"/>
        <w:bottom w:val="none" w:sz="0" w:space="0" w:color="auto"/>
        <w:right w:val="none" w:sz="0" w:space="0" w:color="auto"/>
      </w:divBdr>
    </w:div>
    <w:div w:id="778725082">
      <w:bodyDiv w:val="1"/>
      <w:marLeft w:val="0"/>
      <w:marRight w:val="0"/>
      <w:marTop w:val="0"/>
      <w:marBottom w:val="0"/>
      <w:divBdr>
        <w:top w:val="none" w:sz="0" w:space="0" w:color="auto"/>
        <w:left w:val="none" w:sz="0" w:space="0" w:color="auto"/>
        <w:bottom w:val="none" w:sz="0" w:space="0" w:color="auto"/>
        <w:right w:val="none" w:sz="0" w:space="0" w:color="auto"/>
      </w:divBdr>
    </w:div>
    <w:div w:id="780606445">
      <w:bodyDiv w:val="1"/>
      <w:marLeft w:val="0"/>
      <w:marRight w:val="0"/>
      <w:marTop w:val="0"/>
      <w:marBottom w:val="0"/>
      <w:divBdr>
        <w:top w:val="none" w:sz="0" w:space="0" w:color="auto"/>
        <w:left w:val="none" w:sz="0" w:space="0" w:color="auto"/>
        <w:bottom w:val="none" w:sz="0" w:space="0" w:color="auto"/>
        <w:right w:val="none" w:sz="0" w:space="0" w:color="auto"/>
      </w:divBdr>
    </w:div>
    <w:div w:id="813331273">
      <w:bodyDiv w:val="1"/>
      <w:marLeft w:val="0"/>
      <w:marRight w:val="0"/>
      <w:marTop w:val="0"/>
      <w:marBottom w:val="0"/>
      <w:divBdr>
        <w:top w:val="none" w:sz="0" w:space="0" w:color="auto"/>
        <w:left w:val="none" w:sz="0" w:space="0" w:color="auto"/>
        <w:bottom w:val="none" w:sz="0" w:space="0" w:color="auto"/>
        <w:right w:val="none" w:sz="0" w:space="0" w:color="auto"/>
      </w:divBdr>
    </w:div>
    <w:div w:id="851072676">
      <w:bodyDiv w:val="1"/>
      <w:marLeft w:val="0"/>
      <w:marRight w:val="0"/>
      <w:marTop w:val="0"/>
      <w:marBottom w:val="0"/>
      <w:divBdr>
        <w:top w:val="none" w:sz="0" w:space="0" w:color="auto"/>
        <w:left w:val="none" w:sz="0" w:space="0" w:color="auto"/>
        <w:bottom w:val="none" w:sz="0" w:space="0" w:color="auto"/>
        <w:right w:val="none" w:sz="0" w:space="0" w:color="auto"/>
      </w:divBdr>
      <w:divsChild>
        <w:div w:id="754132709">
          <w:marLeft w:val="0"/>
          <w:marRight w:val="0"/>
          <w:marTop w:val="0"/>
          <w:marBottom w:val="0"/>
          <w:divBdr>
            <w:top w:val="single" w:sz="2" w:space="0" w:color="E3E3E3"/>
            <w:left w:val="single" w:sz="2" w:space="0" w:color="E3E3E3"/>
            <w:bottom w:val="single" w:sz="2" w:space="0" w:color="E3E3E3"/>
            <w:right w:val="single" w:sz="2" w:space="0" w:color="E3E3E3"/>
          </w:divBdr>
          <w:divsChild>
            <w:div w:id="289826511">
              <w:marLeft w:val="0"/>
              <w:marRight w:val="0"/>
              <w:marTop w:val="0"/>
              <w:marBottom w:val="0"/>
              <w:divBdr>
                <w:top w:val="single" w:sz="2" w:space="0" w:color="E3E3E3"/>
                <w:left w:val="single" w:sz="2" w:space="0" w:color="E3E3E3"/>
                <w:bottom w:val="single" w:sz="2" w:space="0" w:color="E3E3E3"/>
                <w:right w:val="single" w:sz="2" w:space="0" w:color="E3E3E3"/>
              </w:divBdr>
              <w:divsChild>
                <w:div w:id="3087048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85796844">
      <w:bodyDiv w:val="1"/>
      <w:marLeft w:val="0"/>
      <w:marRight w:val="0"/>
      <w:marTop w:val="0"/>
      <w:marBottom w:val="0"/>
      <w:divBdr>
        <w:top w:val="none" w:sz="0" w:space="0" w:color="auto"/>
        <w:left w:val="none" w:sz="0" w:space="0" w:color="auto"/>
        <w:bottom w:val="none" w:sz="0" w:space="0" w:color="auto"/>
        <w:right w:val="none" w:sz="0" w:space="0" w:color="auto"/>
      </w:divBdr>
    </w:div>
    <w:div w:id="953444112">
      <w:bodyDiv w:val="1"/>
      <w:marLeft w:val="0"/>
      <w:marRight w:val="0"/>
      <w:marTop w:val="0"/>
      <w:marBottom w:val="0"/>
      <w:divBdr>
        <w:top w:val="none" w:sz="0" w:space="0" w:color="auto"/>
        <w:left w:val="none" w:sz="0" w:space="0" w:color="auto"/>
        <w:bottom w:val="none" w:sz="0" w:space="0" w:color="auto"/>
        <w:right w:val="none" w:sz="0" w:space="0" w:color="auto"/>
      </w:divBdr>
    </w:div>
    <w:div w:id="957567686">
      <w:bodyDiv w:val="1"/>
      <w:marLeft w:val="0"/>
      <w:marRight w:val="0"/>
      <w:marTop w:val="0"/>
      <w:marBottom w:val="0"/>
      <w:divBdr>
        <w:top w:val="none" w:sz="0" w:space="0" w:color="auto"/>
        <w:left w:val="none" w:sz="0" w:space="0" w:color="auto"/>
        <w:bottom w:val="none" w:sz="0" w:space="0" w:color="auto"/>
        <w:right w:val="none" w:sz="0" w:space="0" w:color="auto"/>
      </w:divBdr>
    </w:div>
    <w:div w:id="968825873">
      <w:bodyDiv w:val="1"/>
      <w:marLeft w:val="0"/>
      <w:marRight w:val="0"/>
      <w:marTop w:val="0"/>
      <w:marBottom w:val="0"/>
      <w:divBdr>
        <w:top w:val="none" w:sz="0" w:space="0" w:color="auto"/>
        <w:left w:val="none" w:sz="0" w:space="0" w:color="auto"/>
        <w:bottom w:val="none" w:sz="0" w:space="0" w:color="auto"/>
        <w:right w:val="none" w:sz="0" w:space="0" w:color="auto"/>
      </w:divBdr>
    </w:div>
    <w:div w:id="987055053">
      <w:bodyDiv w:val="1"/>
      <w:marLeft w:val="0"/>
      <w:marRight w:val="0"/>
      <w:marTop w:val="0"/>
      <w:marBottom w:val="0"/>
      <w:divBdr>
        <w:top w:val="none" w:sz="0" w:space="0" w:color="auto"/>
        <w:left w:val="none" w:sz="0" w:space="0" w:color="auto"/>
        <w:bottom w:val="none" w:sz="0" w:space="0" w:color="auto"/>
        <w:right w:val="none" w:sz="0" w:space="0" w:color="auto"/>
      </w:divBdr>
    </w:div>
    <w:div w:id="995575220">
      <w:bodyDiv w:val="1"/>
      <w:marLeft w:val="0"/>
      <w:marRight w:val="0"/>
      <w:marTop w:val="0"/>
      <w:marBottom w:val="0"/>
      <w:divBdr>
        <w:top w:val="none" w:sz="0" w:space="0" w:color="auto"/>
        <w:left w:val="none" w:sz="0" w:space="0" w:color="auto"/>
        <w:bottom w:val="none" w:sz="0" w:space="0" w:color="auto"/>
        <w:right w:val="none" w:sz="0" w:space="0" w:color="auto"/>
      </w:divBdr>
    </w:div>
    <w:div w:id="1009405551">
      <w:bodyDiv w:val="1"/>
      <w:marLeft w:val="0"/>
      <w:marRight w:val="0"/>
      <w:marTop w:val="0"/>
      <w:marBottom w:val="0"/>
      <w:divBdr>
        <w:top w:val="none" w:sz="0" w:space="0" w:color="auto"/>
        <w:left w:val="none" w:sz="0" w:space="0" w:color="auto"/>
        <w:bottom w:val="none" w:sz="0" w:space="0" w:color="auto"/>
        <w:right w:val="none" w:sz="0" w:space="0" w:color="auto"/>
      </w:divBdr>
    </w:div>
    <w:div w:id="1035621834">
      <w:bodyDiv w:val="1"/>
      <w:marLeft w:val="0"/>
      <w:marRight w:val="0"/>
      <w:marTop w:val="0"/>
      <w:marBottom w:val="0"/>
      <w:divBdr>
        <w:top w:val="none" w:sz="0" w:space="0" w:color="auto"/>
        <w:left w:val="none" w:sz="0" w:space="0" w:color="auto"/>
        <w:bottom w:val="none" w:sz="0" w:space="0" w:color="auto"/>
        <w:right w:val="none" w:sz="0" w:space="0" w:color="auto"/>
      </w:divBdr>
    </w:div>
    <w:div w:id="1037925769">
      <w:bodyDiv w:val="1"/>
      <w:marLeft w:val="0"/>
      <w:marRight w:val="0"/>
      <w:marTop w:val="0"/>
      <w:marBottom w:val="0"/>
      <w:divBdr>
        <w:top w:val="none" w:sz="0" w:space="0" w:color="auto"/>
        <w:left w:val="none" w:sz="0" w:space="0" w:color="auto"/>
        <w:bottom w:val="none" w:sz="0" w:space="0" w:color="auto"/>
        <w:right w:val="none" w:sz="0" w:space="0" w:color="auto"/>
      </w:divBdr>
    </w:div>
    <w:div w:id="1129661384">
      <w:bodyDiv w:val="1"/>
      <w:marLeft w:val="0"/>
      <w:marRight w:val="0"/>
      <w:marTop w:val="0"/>
      <w:marBottom w:val="0"/>
      <w:divBdr>
        <w:top w:val="none" w:sz="0" w:space="0" w:color="auto"/>
        <w:left w:val="none" w:sz="0" w:space="0" w:color="auto"/>
        <w:bottom w:val="none" w:sz="0" w:space="0" w:color="auto"/>
        <w:right w:val="none" w:sz="0" w:space="0" w:color="auto"/>
      </w:divBdr>
    </w:div>
    <w:div w:id="1224826425">
      <w:bodyDiv w:val="1"/>
      <w:marLeft w:val="0"/>
      <w:marRight w:val="0"/>
      <w:marTop w:val="0"/>
      <w:marBottom w:val="0"/>
      <w:divBdr>
        <w:top w:val="none" w:sz="0" w:space="0" w:color="auto"/>
        <w:left w:val="none" w:sz="0" w:space="0" w:color="auto"/>
        <w:bottom w:val="none" w:sz="0" w:space="0" w:color="auto"/>
        <w:right w:val="none" w:sz="0" w:space="0" w:color="auto"/>
      </w:divBdr>
    </w:div>
    <w:div w:id="1306394818">
      <w:bodyDiv w:val="1"/>
      <w:marLeft w:val="0"/>
      <w:marRight w:val="0"/>
      <w:marTop w:val="0"/>
      <w:marBottom w:val="0"/>
      <w:divBdr>
        <w:top w:val="none" w:sz="0" w:space="0" w:color="auto"/>
        <w:left w:val="none" w:sz="0" w:space="0" w:color="auto"/>
        <w:bottom w:val="none" w:sz="0" w:space="0" w:color="auto"/>
        <w:right w:val="none" w:sz="0" w:space="0" w:color="auto"/>
      </w:divBdr>
    </w:div>
    <w:div w:id="1393650085">
      <w:bodyDiv w:val="1"/>
      <w:marLeft w:val="0"/>
      <w:marRight w:val="0"/>
      <w:marTop w:val="0"/>
      <w:marBottom w:val="0"/>
      <w:divBdr>
        <w:top w:val="none" w:sz="0" w:space="0" w:color="auto"/>
        <w:left w:val="none" w:sz="0" w:space="0" w:color="auto"/>
        <w:bottom w:val="none" w:sz="0" w:space="0" w:color="auto"/>
        <w:right w:val="none" w:sz="0" w:space="0" w:color="auto"/>
      </w:divBdr>
    </w:div>
    <w:div w:id="1433278028">
      <w:bodyDiv w:val="1"/>
      <w:marLeft w:val="0"/>
      <w:marRight w:val="0"/>
      <w:marTop w:val="0"/>
      <w:marBottom w:val="0"/>
      <w:divBdr>
        <w:top w:val="none" w:sz="0" w:space="0" w:color="auto"/>
        <w:left w:val="none" w:sz="0" w:space="0" w:color="auto"/>
        <w:bottom w:val="none" w:sz="0" w:space="0" w:color="auto"/>
        <w:right w:val="none" w:sz="0" w:space="0" w:color="auto"/>
      </w:divBdr>
    </w:div>
    <w:div w:id="1450320066">
      <w:bodyDiv w:val="1"/>
      <w:marLeft w:val="0"/>
      <w:marRight w:val="0"/>
      <w:marTop w:val="0"/>
      <w:marBottom w:val="0"/>
      <w:divBdr>
        <w:top w:val="none" w:sz="0" w:space="0" w:color="auto"/>
        <w:left w:val="none" w:sz="0" w:space="0" w:color="auto"/>
        <w:bottom w:val="none" w:sz="0" w:space="0" w:color="auto"/>
        <w:right w:val="none" w:sz="0" w:space="0" w:color="auto"/>
      </w:divBdr>
    </w:div>
    <w:div w:id="1464153852">
      <w:bodyDiv w:val="1"/>
      <w:marLeft w:val="0"/>
      <w:marRight w:val="0"/>
      <w:marTop w:val="0"/>
      <w:marBottom w:val="0"/>
      <w:divBdr>
        <w:top w:val="none" w:sz="0" w:space="0" w:color="auto"/>
        <w:left w:val="none" w:sz="0" w:space="0" w:color="auto"/>
        <w:bottom w:val="none" w:sz="0" w:space="0" w:color="auto"/>
        <w:right w:val="none" w:sz="0" w:space="0" w:color="auto"/>
      </w:divBdr>
    </w:div>
    <w:div w:id="1515534074">
      <w:bodyDiv w:val="1"/>
      <w:marLeft w:val="0"/>
      <w:marRight w:val="0"/>
      <w:marTop w:val="0"/>
      <w:marBottom w:val="0"/>
      <w:divBdr>
        <w:top w:val="none" w:sz="0" w:space="0" w:color="auto"/>
        <w:left w:val="none" w:sz="0" w:space="0" w:color="auto"/>
        <w:bottom w:val="none" w:sz="0" w:space="0" w:color="auto"/>
        <w:right w:val="none" w:sz="0" w:space="0" w:color="auto"/>
      </w:divBdr>
    </w:div>
    <w:div w:id="1530871147">
      <w:bodyDiv w:val="1"/>
      <w:marLeft w:val="0"/>
      <w:marRight w:val="0"/>
      <w:marTop w:val="0"/>
      <w:marBottom w:val="0"/>
      <w:divBdr>
        <w:top w:val="none" w:sz="0" w:space="0" w:color="auto"/>
        <w:left w:val="none" w:sz="0" w:space="0" w:color="auto"/>
        <w:bottom w:val="none" w:sz="0" w:space="0" w:color="auto"/>
        <w:right w:val="none" w:sz="0" w:space="0" w:color="auto"/>
      </w:divBdr>
      <w:divsChild>
        <w:div w:id="312027418">
          <w:marLeft w:val="0"/>
          <w:marRight w:val="0"/>
          <w:marTop w:val="0"/>
          <w:marBottom w:val="0"/>
          <w:divBdr>
            <w:top w:val="none" w:sz="0" w:space="0" w:color="auto"/>
            <w:left w:val="none" w:sz="0" w:space="0" w:color="auto"/>
            <w:bottom w:val="none" w:sz="0" w:space="0" w:color="auto"/>
            <w:right w:val="none" w:sz="0" w:space="0" w:color="auto"/>
          </w:divBdr>
          <w:divsChild>
            <w:div w:id="984314315">
              <w:marLeft w:val="0"/>
              <w:marRight w:val="0"/>
              <w:marTop w:val="0"/>
              <w:marBottom w:val="0"/>
              <w:divBdr>
                <w:top w:val="none" w:sz="0" w:space="0" w:color="auto"/>
                <w:left w:val="none" w:sz="0" w:space="0" w:color="auto"/>
                <w:bottom w:val="none" w:sz="0" w:space="0" w:color="auto"/>
                <w:right w:val="none" w:sz="0" w:space="0" w:color="auto"/>
              </w:divBdr>
              <w:divsChild>
                <w:div w:id="628165477">
                  <w:marLeft w:val="0"/>
                  <w:marRight w:val="0"/>
                  <w:marTop w:val="0"/>
                  <w:marBottom w:val="0"/>
                  <w:divBdr>
                    <w:top w:val="none" w:sz="0" w:space="0" w:color="auto"/>
                    <w:left w:val="none" w:sz="0" w:space="0" w:color="auto"/>
                    <w:bottom w:val="none" w:sz="0" w:space="0" w:color="auto"/>
                    <w:right w:val="none" w:sz="0" w:space="0" w:color="auto"/>
                  </w:divBdr>
                  <w:divsChild>
                    <w:div w:id="20474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3173">
          <w:marLeft w:val="0"/>
          <w:marRight w:val="0"/>
          <w:marTop w:val="0"/>
          <w:marBottom w:val="0"/>
          <w:divBdr>
            <w:top w:val="none" w:sz="0" w:space="0" w:color="auto"/>
            <w:left w:val="none" w:sz="0" w:space="0" w:color="auto"/>
            <w:bottom w:val="none" w:sz="0" w:space="0" w:color="auto"/>
            <w:right w:val="none" w:sz="0" w:space="0" w:color="auto"/>
          </w:divBdr>
          <w:divsChild>
            <w:div w:id="1966112261">
              <w:marLeft w:val="0"/>
              <w:marRight w:val="0"/>
              <w:marTop w:val="0"/>
              <w:marBottom w:val="0"/>
              <w:divBdr>
                <w:top w:val="none" w:sz="0" w:space="0" w:color="auto"/>
                <w:left w:val="none" w:sz="0" w:space="0" w:color="auto"/>
                <w:bottom w:val="none" w:sz="0" w:space="0" w:color="auto"/>
                <w:right w:val="none" w:sz="0" w:space="0" w:color="auto"/>
              </w:divBdr>
              <w:divsChild>
                <w:div w:id="1984430573">
                  <w:marLeft w:val="0"/>
                  <w:marRight w:val="0"/>
                  <w:marTop w:val="0"/>
                  <w:marBottom w:val="0"/>
                  <w:divBdr>
                    <w:top w:val="none" w:sz="0" w:space="0" w:color="auto"/>
                    <w:left w:val="none" w:sz="0" w:space="0" w:color="auto"/>
                    <w:bottom w:val="none" w:sz="0" w:space="0" w:color="auto"/>
                    <w:right w:val="none" w:sz="0" w:space="0" w:color="auto"/>
                  </w:divBdr>
                  <w:divsChild>
                    <w:div w:id="13335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302766">
      <w:bodyDiv w:val="1"/>
      <w:marLeft w:val="0"/>
      <w:marRight w:val="0"/>
      <w:marTop w:val="0"/>
      <w:marBottom w:val="0"/>
      <w:divBdr>
        <w:top w:val="none" w:sz="0" w:space="0" w:color="auto"/>
        <w:left w:val="none" w:sz="0" w:space="0" w:color="auto"/>
        <w:bottom w:val="none" w:sz="0" w:space="0" w:color="auto"/>
        <w:right w:val="none" w:sz="0" w:space="0" w:color="auto"/>
      </w:divBdr>
    </w:div>
    <w:div w:id="1600944783">
      <w:bodyDiv w:val="1"/>
      <w:marLeft w:val="0"/>
      <w:marRight w:val="0"/>
      <w:marTop w:val="0"/>
      <w:marBottom w:val="0"/>
      <w:divBdr>
        <w:top w:val="none" w:sz="0" w:space="0" w:color="auto"/>
        <w:left w:val="none" w:sz="0" w:space="0" w:color="auto"/>
        <w:bottom w:val="none" w:sz="0" w:space="0" w:color="auto"/>
        <w:right w:val="none" w:sz="0" w:space="0" w:color="auto"/>
      </w:divBdr>
    </w:div>
    <w:div w:id="1645231030">
      <w:bodyDiv w:val="1"/>
      <w:marLeft w:val="0"/>
      <w:marRight w:val="0"/>
      <w:marTop w:val="0"/>
      <w:marBottom w:val="0"/>
      <w:divBdr>
        <w:top w:val="none" w:sz="0" w:space="0" w:color="auto"/>
        <w:left w:val="none" w:sz="0" w:space="0" w:color="auto"/>
        <w:bottom w:val="none" w:sz="0" w:space="0" w:color="auto"/>
        <w:right w:val="none" w:sz="0" w:space="0" w:color="auto"/>
      </w:divBdr>
    </w:div>
    <w:div w:id="1655253079">
      <w:bodyDiv w:val="1"/>
      <w:marLeft w:val="0"/>
      <w:marRight w:val="0"/>
      <w:marTop w:val="0"/>
      <w:marBottom w:val="0"/>
      <w:divBdr>
        <w:top w:val="none" w:sz="0" w:space="0" w:color="auto"/>
        <w:left w:val="none" w:sz="0" w:space="0" w:color="auto"/>
        <w:bottom w:val="none" w:sz="0" w:space="0" w:color="auto"/>
        <w:right w:val="none" w:sz="0" w:space="0" w:color="auto"/>
      </w:divBdr>
    </w:div>
    <w:div w:id="1657683217">
      <w:bodyDiv w:val="1"/>
      <w:marLeft w:val="0"/>
      <w:marRight w:val="0"/>
      <w:marTop w:val="0"/>
      <w:marBottom w:val="0"/>
      <w:divBdr>
        <w:top w:val="none" w:sz="0" w:space="0" w:color="auto"/>
        <w:left w:val="none" w:sz="0" w:space="0" w:color="auto"/>
        <w:bottom w:val="none" w:sz="0" w:space="0" w:color="auto"/>
        <w:right w:val="none" w:sz="0" w:space="0" w:color="auto"/>
      </w:divBdr>
    </w:div>
    <w:div w:id="1697657900">
      <w:bodyDiv w:val="1"/>
      <w:marLeft w:val="0"/>
      <w:marRight w:val="0"/>
      <w:marTop w:val="0"/>
      <w:marBottom w:val="0"/>
      <w:divBdr>
        <w:top w:val="none" w:sz="0" w:space="0" w:color="auto"/>
        <w:left w:val="none" w:sz="0" w:space="0" w:color="auto"/>
        <w:bottom w:val="none" w:sz="0" w:space="0" w:color="auto"/>
        <w:right w:val="none" w:sz="0" w:space="0" w:color="auto"/>
      </w:divBdr>
    </w:div>
    <w:div w:id="1703092928">
      <w:bodyDiv w:val="1"/>
      <w:marLeft w:val="0"/>
      <w:marRight w:val="0"/>
      <w:marTop w:val="0"/>
      <w:marBottom w:val="0"/>
      <w:divBdr>
        <w:top w:val="none" w:sz="0" w:space="0" w:color="auto"/>
        <w:left w:val="none" w:sz="0" w:space="0" w:color="auto"/>
        <w:bottom w:val="none" w:sz="0" w:space="0" w:color="auto"/>
        <w:right w:val="none" w:sz="0" w:space="0" w:color="auto"/>
      </w:divBdr>
    </w:div>
    <w:div w:id="1775325861">
      <w:bodyDiv w:val="1"/>
      <w:marLeft w:val="0"/>
      <w:marRight w:val="0"/>
      <w:marTop w:val="0"/>
      <w:marBottom w:val="0"/>
      <w:divBdr>
        <w:top w:val="none" w:sz="0" w:space="0" w:color="auto"/>
        <w:left w:val="none" w:sz="0" w:space="0" w:color="auto"/>
        <w:bottom w:val="none" w:sz="0" w:space="0" w:color="auto"/>
        <w:right w:val="none" w:sz="0" w:space="0" w:color="auto"/>
      </w:divBdr>
    </w:div>
    <w:div w:id="1790272149">
      <w:bodyDiv w:val="1"/>
      <w:marLeft w:val="0"/>
      <w:marRight w:val="0"/>
      <w:marTop w:val="0"/>
      <w:marBottom w:val="0"/>
      <w:divBdr>
        <w:top w:val="none" w:sz="0" w:space="0" w:color="auto"/>
        <w:left w:val="none" w:sz="0" w:space="0" w:color="auto"/>
        <w:bottom w:val="none" w:sz="0" w:space="0" w:color="auto"/>
        <w:right w:val="none" w:sz="0" w:space="0" w:color="auto"/>
      </w:divBdr>
    </w:div>
    <w:div w:id="1840390561">
      <w:bodyDiv w:val="1"/>
      <w:marLeft w:val="0"/>
      <w:marRight w:val="0"/>
      <w:marTop w:val="0"/>
      <w:marBottom w:val="0"/>
      <w:divBdr>
        <w:top w:val="none" w:sz="0" w:space="0" w:color="auto"/>
        <w:left w:val="none" w:sz="0" w:space="0" w:color="auto"/>
        <w:bottom w:val="none" w:sz="0" w:space="0" w:color="auto"/>
        <w:right w:val="none" w:sz="0" w:space="0" w:color="auto"/>
      </w:divBdr>
    </w:div>
    <w:div w:id="1875003245">
      <w:bodyDiv w:val="1"/>
      <w:marLeft w:val="0"/>
      <w:marRight w:val="0"/>
      <w:marTop w:val="0"/>
      <w:marBottom w:val="0"/>
      <w:divBdr>
        <w:top w:val="none" w:sz="0" w:space="0" w:color="auto"/>
        <w:left w:val="none" w:sz="0" w:space="0" w:color="auto"/>
        <w:bottom w:val="none" w:sz="0" w:space="0" w:color="auto"/>
        <w:right w:val="none" w:sz="0" w:space="0" w:color="auto"/>
      </w:divBdr>
    </w:div>
    <w:div w:id="1910572996">
      <w:bodyDiv w:val="1"/>
      <w:marLeft w:val="0"/>
      <w:marRight w:val="0"/>
      <w:marTop w:val="0"/>
      <w:marBottom w:val="0"/>
      <w:divBdr>
        <w:top w:val="none" w:sz="0" w:space="0" w:color="auto"/>
        <w:left w:val="none" w:sz="0" w:space="0" w:color="auto"/>
        <w:bottom w:val="none" w:sz="0" w:space="0" w:color="auto"/>
        <w:right w:val="none" w:sz="0" w:space="0" w:color="auto"/>
      </w:divBdr>
    </w:div>
    <w:div w:id="1951737989">
      <w:bodyDiv w:val="1"/>
      <w:marLeft w:val="0"/>
      <w:marRight w:val="0"/>
      <w:marTop w:val="0"/>
      <w:marBottom w:val="0"/>
      <w:divBdr>
        <w:top w:val="none" w:sz="0" w:space="0" w:color="auto"/>
        <w:left w:val="none" w:sz="0" w:space="0" w:color="auto"/>
        <w:bottom w:val="none" w:sz="0" w:space="0" w:color="auto"/>
        <w:right w:val="none" w:sz="0" w:space="0" w:color="auto"/>
      </w:divBdr>
    </w:div>
    <w:div w:id="1989244711">
      <w:bodyDiv w:val="1"/>
      <w:marLeft w:val="0"/>
      <w:marRight w:val="0"/>
      <w:marTop w:val="0"/>
      <w:marBottom w:val="0"/>
      <w:divBdr>
        <w:top w:val="none" w:sz="0" w:space="0" w:color="auto"/>
        <w:left w:val="none" w:sz="0" w:space="0" w:color="auto"/>
        <w:bottom w:val="none" w:sz="0" w:space="0" w:color="auto"/>
        <w:right w:val="none" w:sz="0" w:space="0" w:color="auto"/>
      </w:divBdr>
    </w:div>
    <w:div w:id="1997761522">
      <w:bodyDiv w:val="1"/>
      <w:marLeft w:val="0"/>
      <w:marRight w:val="0"/>
      <w:marTop w:val="0"/>
      <w:marBottom w:val="0"/>
      <w:divBdr>
        <w:top w:val="none" w:sz="0" w:space="0" w:color="auto"/>
        <w:left w:val="none" w:sz="0" w:space="0" w:color="auto"/>
        <w:bottom w:val="none" w:sz="0" w:space="0" w:color="auto"/>
        <w:right w:val="none" w:sz="0" w:space="0" w:color="auto"/>
      </w:divBdr>
    </w:div>
    <w:div w:id="2022008340">
      <w:bodyDiv w:val="1"/>
      <w:marLeft w:val="0"/>
      <w:marRight w:val="0"/>
      <w:marTop w:val="0"/>
      <w:marBottom w:val="0"/>
      <w:divBdr>
        <w:top w:val="none" w:sz="0" w:space="0" w:color="auto"/>
        <w:left w:val="none" w:sz="0" w:space="0" w:color="auto"/>
        <w:bottom w:val="none" w:sz="0" w:space="0" w:color="auto"/>
        <w:right w:val="none" w:sz="0" w:space="0" w:color="auto"/>
      </w:divBdr>
    </w:div>
    <w:div w:id="2023168212">
      <w:bodyDiv w:val="1"/>
      <w:marLeft w:val="0"/>
      <w:marRight w:val="0"/>
      <w:marTop w:val="0"/>
      <w:marBottom w:val="0"/>
      <w:divBdr>
        <w:top w:val="none" w:sz="0" w:space="0" w:color="auto"/>
        <w:left w:val="none" w:sz="0" w:space="0" w:color="auto"/>
        <w:bottom w:val="none" w:sz="0" w:space="0" w:color="auto"/>
        <w:right w:val="none" w:sz="0" w:space="0" w:color="auto"/>
      </w:divBdr>
    </w:div>
    <w:div w:id="2031908063">
      <w:bodyDiv w:val="1"/>
      <w:marLeft w:val="0"/>
      <w:marRight w:val="0"/>
      <w:marTop w:val="0"/>
      <w:marBottom w:val="0"/>
      <w:divBdr>
        <w:top w:val="none" w:sz="0" w:space="0" w:color="auto"/>
        <w:left w:val="none" w:sz="0" w:space="0" w:color="auto"/>
        <w:bottom w:val="none" w:sz="0" w:space="0" w:color="auto"/>
        <w:right w:val="none" w:sz="0" w:space="0" w:color="auto"/>
      </w:divBdr>
    </w:div>
    <w:div w:id="2042784635">
      <w:bodyDiv w:val="1"/>
      <w:marLeft w:val="0"/>
      <w:marRight w:val="0"/>
      <w:marTop w:val="0"/>
      <w:marBottom w:val="0"/>
      <w:divBdr>
        <w:top w:val="none" w:sz="0" w:space="0" w:color="auto"/>
        <w:left w:val="none" w:sz="0" w:space="0" w:color="auto"/>
        <w:bottom w:val="none" w:sz="0" w:space="0" w:color="auto"/>
        <w:right w:val="none" w:sz="0" w:space="0" w:color="auto"/>
      </w:divBdr>
    </w:div>
    <w:div w:id="2085641698">
      <w:bodyDiv w:val="1"/>
      <w:marLeft w:val="0"/>
      <w:marRight w:val="0"/>
      <w:marTop w:val="0"/>
      <w:marBottom w:val="0"/>
      <w:divBdr>
        <w:top w:val="none" w:sz="0" w:space="0" w:color="auto"/>
        <w:left w:val="none" w:sz="0" w:space="0" w:color="auto"/>
        <w:bottom w:val="none" w:sz="0" w:space="0" w:color="auto"/>
        <w:right w:val="none" w:sz="0" w:space="0" w:color="auto"/>
      </w:divBdr>
    </w:div>
    <w:div w:id="213621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0C301-82B4-4D0E-99A1-C29622BE1BE2}">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2026-02-05T15:43:00Z</dcterms:created>
  <dcterms:modified xsi:type="dcterms:W3CDTF">2026-02-05T15:43:00Z</dcterms:modified>
</cp:coreProperties>
</file>