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0A19" w14:textId="77777777" w:rsidR="008D25DC" w:rsidRPr="006258E5" w:rsidRDefault="008D25DC" w:rsidP="008D25DC">
      <w:pPr>
        <w:pStyle w:val="BodyText"/>
        <w:ind w:left="5541"/>
        <w:rPr>
          <w:i w:val="0"/>
          <w:sz w:val="18"/>
          <w:szCs w:val="18"/>
          <w:lang w:val="ro-RO"/>
        </w:rPr>
      </w:pPr>
    </w:p>
    <w:p w14:paraId="4A571FCC" w14:textId="77777777" w:rsidR="008D25DC" w:rsidRPr="006258E5" w:rsidRDefault="008D25DC" w:rsidP="008D25DC">
      <w:pPr>
        <w:pStyle w:val="BodyText"/>
        <w:rPr>
          <w:i w:val="0"/>
          <w:sz w:val="18"/>
          <w:szCs w:val="18"/>
          <w:lang w:val="ro-RO"/>
        </w:rPr>
      </w:pPr>
    </w:p>
    <w:p w14:paraId="0B6BB03A" w14:textId="77777777" w:rsidR="008D25DC" w:rsidRPr="006258E5" w:rsidRDefault="008D25DC" w:rsidP="008D25DC">
      <w:pPr>
        <w:pStyle w:val="BodyText"/>
        <w:rPr>
          <w:i w:val="0"/>
          <w:sz w:val="18"/>
          <w:szCs w:val="18"/>
          <w:lang w:val="ro-RO"/>
        </w:rPr>
      </w:pPr>
    </w:p>
    <w:p w14:paraId="3D544FC0" w14:textId="77777777" w:rsidR="008D25DC" w:rsidRPr="006258E5" w:rsidRDefault="008D25DC" w:rsidP="008D25DC">
      <w:pPr>
        <w:pStyle w:val="BodyText"/>
        <w:rPr>
          <w:i w:val="0"/>
          <w:sz w:val="18"/>
          <w:szCs w:val="18"/>
          <w:lang w:val="ro-RO"/>
        </w:rPr>
      </w:pPr>
    </w:p>
    <w:p w14:paraId="668458CE" w14:textId="77777777" w:rsidR="008D25DC" w:rsidRPr="006258E5" w:rsidRDefault="008D25DC" w:rsidP="008D25DC">
      <w:pPr>
        <w:pStyle w:val="BodyText"/>
        <w:rPr>
          <w:i w:val="0"/>
          <w:sz w:val="18"/>
          <w:szCs w:val="18"/>
          <w:lang w:val="ro-RO"/>
        </w:rPr>
      </w:pPr>
    </w:p>
    <w:p w14:paraId="7E4FD1CA" w14:textId="77777777" w:rsidR="008D25DC" w:rsidRPr="006258E5" w:rsidRDefault="008D25DC" w:rsidP="008D25DC">
      <w:pPr>
        <w:pStyle w:val="BodyText"/>
        <w:rPr>
          <w:i w:val="0"/>
          <w:sz w:val="18"/>
          <w:szCs w:val="18"/>
          <w:lang w:val="ro-RO"/>
        </w:rPr>
      </w:pPr>
    </w:p>
    <w:p w14:paraId="5730355B" w14:textId="77777777" w:rsidR="008D25DC" w:rsidRPr="006258E5" w:rsidRDefault="008D25DC" w:rsidP="008D25DC">
      <w:pPr>
        <w:pStyle w:val="BodyText"/>
        <w:rPr>
          <w:i w:val="0"/>
          <w:sz w:val="18"/>
          <w:szCs w:val="18"/>
          <w:lang w:val="ro-RO"/>
        </w:rPr>
      </w:pPr>
    </w:p>
    <w:p w14:paraId="6F7BD160" w14:textId="77777777" w:rsidR="008D25DC" w:rsidRPr="006258E5" w:rsidRDefault="008D25DC" w:rsidP="008D25DC">
      <w:pPr>
        <w:pStyle w:val="BodyText"/>
        <w:spacing w:before="11"/>
        <w:rPr>
          <w:i w:val="0"/>
          <w:sz w:val="18"/>
          <w:szCs w:val="18"/>
          <w:lang w:val="ro-RO"/>
        </w:rPr>
      </w:pPr>
    </w:p>
    <w:p w14:paraId="7C1C5099" w14:textId="77777777" w:rsidR="008D25DC" w:rsidRPr="006258E5" w:rsidRDefault="008D25DC" w:rsidP="008D25DC">
      <w:pPr>
        <w:pStyle w:val="BodyText"/>
        <w:ind w:left="105"/>
        <w:rPr>
          <w:sz w:val="18"/>
          <w:szCs w:val="18"/>
          <w:lang w:val="ro-RO"/>
        </w:rPr>
      </w:pPr>
      <w:r w:rsidRPr="006258E5">
        <w:rPr>
          <w:sz w:val="18"/>
          <w:szCs w:val="18"/>
          <w:lang w:val="ro-RO"/>
        </w:rPr>
        <w:t>Către</w:t>
      </w:r>
    </w:p>
    <w:p w14:paraId="654D002E" w14:textId="77777777" w:rsidR="008D25DC" w:rsidRPr="006258E5" w:rsidRDefault="008D25DC" w:rsidP="008D25DC">
      <w:pPr>
        <w:pStyle w:val="BodyText"/>
        <w:spacing w:before="101"/>
        <w:ind w:left="107"/>
        <w:rPr>
          <w:sz w:val="18"/>
          <w:szCs w:val="18"/>
          <w:lang w:val="ro-RO"/>
        </w:rPr>
      </w:pPr>
      <w:r w:rsidRPr="006258E5">
        <w:rPr>
          <w:w w:val="105"/>
          <w:sz w:val="18"/>
          <w:szCs w:val="18"/>
          <w:lang w:val="ro-RO"/>
        </w:rPr>
        <w:t>Biroul Permanent al Senatului</w:t>
      </w:r>
    </w:p>
    <w:p w14:paraId="560CD5A0" w14:textId="77777777" w:rsidR="008D25DC" w:rsidRPr="006258E5" w:rsidRDefault="008D25DC" w:rsidP="008D25DC">
      <w:pPr>
        <w:pStyle w:val="BodyText"/>
        <w:rPr>
          <w:sz w:val="18"/>
          <w:szCs w:val="18"/>
          <w:lang w:val="ro-RO"/>
        </w:rPr>
      </w:pPr>
    </w:p>
    <w:p w14:paraId="456C5110" w14:textId="77777777" w:rsidR="008D25DC" w:rsidRPr="006258E5" w:rsidRDefault="008D25DC" w:rsidP="008D25DC">
      <w:pPr>
        <w:pStyle w:val="BodyText"/>
        <w:rPr>
          <w:sz w:val="18"/>
          <w:szCs w:val="18"/>
          <w:lang w:val="ro-RO"/>
        </w:rPr>
      </w:pPr>
    </w:p>
    <w:p w14:paraId="676EA8E7" w14:textId="77777777" w:rsidR="008D25DC" w:rsidRPr="006258E5" w:rsidRDefault="008D25DC" w:rsidP="008D25DC">
      <w:pPr>
        <w:pStyle w:val="BodyText"/>
        <w:rPr>
          <w:sz w:val="18"/>
          <w:szCs w:val="18"/>
          <w:lang w:val="ro-RO"/>
        </w:rPr>
      </w:pPr>
    </w:p>
    <w:p w14:paraId="1B529ACF" w14:textId="0488D20A" w:rsidR="008D25DC" w:rsidRPr="006258E5" w:rsidRDefault="008D25DC" w:rsidP="008D25DC">
      <w:pPr>
        <w:pStyle w:val="BodyText"/>
        <w:spacing w:before="210" w:line="338" w:lineRule="auto"/>
        <w:ind w:left="107" w:right="495" w:firstLine="675"/>
        <w:jc w:val="both"/>
        <w:rPr>
          <w:sz w:val="18"/>
          <w:szCs w:val="18"/>
          <w:lang w:val="ro-RO"/>
        </w:rPr>
      </w:pPr>
      <w:r w:rsidRPr="006258E5">
        <w:rPr>
          <w:sz w:val="18"/>
          <w:szCs w:val="18"/>
          <w:lang w:val="ro-RO"/>
        </w:rPr>
        <w:t>În conformitate cu prevederile art. 74 alin. (1) și ale art. 75</w:t>
      </w:r>
      <w:r w:rsidRPr="006258E5">
        <w:rPr>
          <w:i w:val="0"/>
          <w:sz w:val="18"/>
          <w:szCs w:val="18"/>
          <w:lang w:val="ro-RO"/>
        </w:rPr>
        <w:t xml:space="preserve"> </w:t>
      </w:r>
      <w:r w:rsidRPr="006258E5">
        <w:rPr>
          <w:sz w:val="18"/>
          <w:szCs w:val="18"/>
          <w:lang w:val="ro-RO"/>
        </w:rPr>
        <w:t>alin. (1) din Constituia României, republicată, vă înaintăm alăturat, spre dezbatere și adoptare,</w:t>
      </w:r>
      <w:r w:rsidR="00995671">
        <w:rPr>
          <w:sz w:val="18"/>
          <w:szCs w:val="18"/>
          <w:lang w:val="ro-RO"/>
        </w:rPr>
        <w:t xml:space="preserve"> in procedura de urgenta,</w:t>
      </w:r>
      <w:r w:rsidRPr="006258E5">
        <w:rPr>
          <w:sz w:val="18"/>
          <w:szCs w:val="18"/>
          <w:lang w:val="ro-RO"/>
        </w:rPr>
        <w:t xml:space="preserve"> propunerea legislativă pentru modificarea </w:t>
      </w:r>
      <w:r w:rsidR="00CC72E8" w:rsidRPr="006258E5">
        <w:rPr>
          <w:sz w:val="18"/>
          <w:szCs w:val="18"/>
          <w:lang w:val="ro-RO"/>
        </w:rPr>
        <w:t xml:space="preserve">și completarea </w:t>
      </w:r>
      <w:r w:rsidRPr="006258E5">
        <w:rPr>
          <w:sz w:val="18"/>
          <w:szCs w:val="18"/>
          <w:lang w:val="ro-RO"/>
        </w:rPr>
        <w:t xml:space="preserve">Legii nr. </w:t>
      </w:r>
      <w:r w:rsidR="00C571F8" w:rsidRPr="006258E5">
        <w:rPr>
          <w:sz w:val="18"/>
          <w:szCs w:val="18"/>
          <w:lang w:val="ro-RO"/>
        </w:rPr>
        <w:t>256</w:t>
      </w:r>
      <w:r w:rsidRPr="006258E5">
        <w:rPr>
          <w:sz w:val="18"/>
          <w:szCs w:val="18"/>
          <w:lang w:val="ro-RO"/>
        </w:rPr>
        <w:t>/</w:t>
      </w:r>
      <w:r w:rsidR="00C571F8" w:rsidRPr="006258E5">
        <w:rPr>
          <w:sz w:val="18"/>
          <w:szCs w:val="18"/>
          <w:lang w:val="ro-RO"/>
        </w:rPr>
        <w:t>2018</w:t>
      </w:r>
      <w:r w:rsidRPr="006258E5">
        <w:rPr>
          <w:sz w:val="18"/>
          <w:szCs w:val="18"/>
          <w:lang w:val="ro-RO"/>
        </w:rPr>
        <w:t xml:space="preserve">, privind </w:t>
      </w:r>
      <w:r w:rsidR="00C571F8" w:rsidRPr="006258E5">
        <w:rPr>
          <w:sz w:val="18"/>
          <w:szCs w:val="18"/>
          <w:lang w:val="ro-RO"/>
        </w:rPr>
        <w:t>unele măsuri necesare pentru implementarea operațiunilor petroliere de către titularii de acorduri petroliere referitoare la perimetre petroliere offshore</w:t>
      </w:r>
      <w:r w:rsidRPr="006258E5">
        <w:rPr>
          <w:sz w:val="18"/>
          <w:szCs w:val="18"/>
          <w:lang w:val="ro-RO"/>
        </w:rPr>
        <w:t>.</w:t>
      </w:r>
    </w:p>
    <w:p w14:paraId="4B09B876" w14:textId="77777777" w:rsidR="008D25DC" w:rsidRPr="006258E5" w:rsidRDefault="008D25DC" w:rsidP="008D25DC">
      <w:pPr>
        <w:pStyle w:val="BodyText"/>
        <w:rPr>
          <w:sz w:val="18"/>
          <w:szCs w:val="18"/>
          <w:lang w:val="ro-RO"/>
        </w:rPr>
      </w:pPr>
    </w:p>
    <w:p w14:paraId="4EF668B9" w14:textId="77777777" w:rsidR="008D25DC" w:rsidRPr="006258E5" w:rsidRDefault="008D25DC" w:rsidP="008D25DC">
      <w:pPr>
        <w:pStyle w:val="BodyText"/>
        <w:rPr>
          <w:sz w:val="18"/>
          <w:szCs w:val="18"/>
          <w:lang w:val="ro-RO"/>
        </w:rPr>
      </w:pPr>
    </w:p>
    <w:p w14:paraId="5E1C6396" w14:textId="77777777" w:rsidR="008D25DC" w:rsidRPr="006258E5" w:rsidRDefault="008D25DC" w:rsidP="008D25DC">
      <w:pPr>
        <w:pStyle w:val="BodyText"/>
        <w:rPr>
          <w:sz w:val="18"/>
          <w:szCs w:val="18"/>
          <w:lang w:val="ro-RO"/>
        </w:rPr>
      </w:pPr>
    </w:p>
    <w:p w14:paraId="02255E4B" w14:textId="77777777" w:rsidR="008D25DC" w:rsidRPr="006258E5" w:rsidRDefault="008D25DC" w:rsidP="008D25DC">
      <w:pPr>
        <w:pStyle w:val="BodyText"/>
        <w:rPr>
          <w:sz w:val="18"/>
          <w:szCs w:val="18"/>
          <w:lang w:val="ro-RO"/>
        </w:rPr>
      </w:pPr>
    </w:p>
    <w:p w14:paraId="6E9F0CD4" w14:textId="77777777" w:rsidR="008D25DC" w:rsidRPr="006258E5" w:rsidRDefault="008D25DC" w:rsidP="008D25DC">
      <w:pPr>
        <w:pStyle w:val="BodyText"/>
        <w:spacing w:before="200"/>
        <w:ind w:left="782"/>
        <w:rPr>
          <w:w w:val="105"/>
          <w:sz w:val="18"/>
          <w:szCs w:val="18"/>
          <w:lang w:val="ro-RO"/>
        </w:rPr>
      </w:pPr>
      <w:r w:rsidRPr="006258E5">
        <w:rPr>
          <w:w w:val="105"/>
          <w:sz w:val="18"/>
          <w:szCs w:val="18"/>
          <w:lang w:val="ro-RO"/>
        </w:rPr>
        <w:t>În numele inițiatorilor,</w:t>
      </w:r>
    </w:p>
    <w:p w14:paraId="66BC19F3" w14:textId="77777777" w:rsidR="008D25DC" w:rsidRPr="006258E5" w:rsidRDefault="008D25DC" w:rsidP="008D25DC">
      <w:pPr>
        <w:pStyle w:val="BodyText"/>
        <w:spacing w:before="200"/>
        <w:ind w:left="782"/>
        <w:rPr>
          <w:w w:val="105"/>
          <w:sz w:val="18"/>
          <w:szCs w:val="18"/>
          <w:lang w:val="ro-RO"/>
        </w:rPr>
      </w:pPr>
    </w:p>
    <w:p w14:paraId="593C76A3" w14:textId="77777777" w:rsidR="008D25DC" w:rsidRPr="006258E5" w:rsidRDefault="008D25DC" w:rsidP="008D25DC">
      <w:pPr>
        <w:pStyle w:val="BodyText"/>
        <w:spacing w:before="200"/>
        <w:ind w:left="782"/>
        <w:rPr>
          <w:w w:val="105"/>
          <w:sz w:val="18"/>
          <w:szCs w:val="18"/>
          <w:lang w:val="ro-RO"/>
        </w:rPr>
      </w:pPr>
      <w:r w:rsidRPr="006258E5">
        <w:rPr>
          <w:w w:val="105"/>
          <w:sz w:val="18"/>
          <w:szCs w:val="18"/>
          <w:lang w:val="ro-RO"/>
        </w:rPr>
        <w:t>Calitate (Deputat/Senator) Nume Prenume</w:t>
      </w:r>
    </w:p>
    <w:p w14:paraId="7FA0329D" w14:textId="77777777" w:rsidR="008D25DC" w:rsidRPr="006258E5" w:rsidRDefault="008D25DC" w:rsidP="008D25DC">
      <w:pPr>
        <w:pStyle w:val="BodyText"/>
        <w:spacing w:before="200"/>
        <w:ind w:left="782"/>
        <w:rPr>
          <w:sz w:val="18"/>
          <w:szCs w:val="18"/>
          <w:lang w:val="ro-RO"/>
        </w:rPr>
      </w:pPr>
      <w:r w:rsidRPr="006258E5">
        <w:rPr>
          <w:w w:val="105"/>
          <w:sz w:val="18"/>
          <w:szCs w:val="18"/>
          <w:lang w:val="ro-RO"/>
        </w:rPr>
        <w:t>Semnătură</w:t>
      </w:r>
    </w:p>
    <w:p w14:paraId="3FC2A45A" w14:textId="77777777" w:rsidR="008D25DC" w:rsidRPr="006258E5" w:rsidRDefault="008D25DC" w:rsidP="008D25DC">
      <w:pPr>
        <w:pStyle w:val="BodyText"/>
        <w:rPr>
          <w:sz w:val="18"/>
          <w:szCs w:val="18"/>
          <w:lang w:val="ro-RO"/>
        </w:rPr>
      </w:pPr>
    </w:p>
    <w:p w14:paraId="2927D927" w14:textId="77777777" w:rsidR="008D25DC" w:rsidRPr="006258E5" w:rsidRDefault="008D25DC" w:rsidP="008D25DC">
      <w:pPr>
        <w:pStyle w:val="BodyText"/>
        <w:spacing w:before="6"/>
        <w:rPr>
          <w:sz w:val="18"/>
          <w:szCs w:val="18"/>
          <w:lang w:val="ro-RO"/>
        </w:rPr>
      </w:pPr>
    </w:p>
    <w:p w14:paraId="71F97AB2" w14:textId="77777777" w:rsidR="008D25DC" w:rsidRPr="006258E5" w:rsidRDefault="008D25DC" w:rsidP="008D25DC">
      <w:pPr>
        <w:jc w:val="both"/>
        <w:rPr>
          <w:i/>
          <w:sz w:val="18"/>
          <w:szCs w:val="18"/>
          <w:lang w:val="ro-RO"/>
        </w:rPr>
        <w:sectPr w:rsidR="008D25DC" w:rsidRPr="006258E5" w:rsidSect="006269B1">
          <w:headerReference w:type="default" r:id="rId10"/>
          <w:pgSz w:w="11900" w:h="16820" w:code="9"/>
          <w:pgMar w:top="620" w:right="900" w:bottom="280" w:left="1220" w:header="720" w:footer="720" w:gutter="0"/>
          <w:cols w:space="720"/>
          <w:docGrid w:linePitch="360"/>
        </w:sectPr>
      </w:pPr>
    </w:p>
    <w:p w14:paraId="406CF562" w14:textId="6A9AA4F7" w:rsidR="008D25DC" w:rsidRPr="006258E5" w:rsidRDefault="008D25DC" w:rsidP="008D25DC">
      <w:pPr>
        <w:spacing w:line="340" w:lineRule="atLeast"/>
        <w:jc w:val="center"/>
        <w:rPr>
          <w:b/>
          <w:spacing w:val="-2"/>
          <w:sz w:val="18"/>
          <w:szCs w:val="18"/>
          <w:lang w:val="ro-RO" w:eastAsia="ro-RO"/>
        </w:rPr>
      </w:pPr>
      <w:r w:rsidRPr="006258E5">
        <w:rPr>
          <w:b/>
          <w:sz w:val="18"/>
          <w:szCs w:val="18"/>
          <w:lang w:val="ro-RO"/>
        </w:rPr>
        <w:lastRenderedPageBreak/>
        <w:t xml:space="preserve"> </w:t>
      </w:r>
      <w:r w:rsidRPr="006258E5">
        <w:rPr>
          <w:b/>
          <w:spacing w:val="-2"/>
          <w:sz w:val="18"/>
          <w:szCs w:val="18"/>
          <w:lang w:val="ro-RO" w:eastAsia="ro-RO"/>
        </w:rPr>
        <w:t>EXPUNERE DE  MOTIVE</w:t>
      </w:r>
    </w:p>
    <w:p w14:paraId="2F0E8965" w14:textId="77777777" w:rsidR="008D25DC" w:rsidRPr="006258E5" w:rsidRDefault="008D25DC" w:rsidP="008D25DC">
      <w:pPr>
        <w:spacing w:line="340" w:lineRule="atLeast"/>
        <w:jc w:val="center"/>
        <w:rPr>
          <w:b/>
          <w:sz w:val="18"/>
          <w:szCs w:val="18"/>
          <w:lang w:val="ro-RO"/>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1059"/>
        <w:gridCol w:w="90"/>
        <w:gridCol w:w="900"/>
        <w:gridCol w:w="810"/>
        <w:gridCol w:w="900"/>
        <w:gridCol w:w="810"/>
        <w:gridCol w:w="810"/>
        <w:gridCol w:w="1141"/>
      </w:tblGrid>
      <w:tr w:rsidR="008D25DC" w:rsidRPr="006258E5" w14:paraId="4413C6E6" w14:textId="77777777" w:rsidTr="60891C03">
        <w:trPr>
          <w:trHeight w:val="495"/>
        </w:trPr>
        <w:tc>
          <w:tcPr>
            <w:tcW w:w="9871" w:type="dxa"/>
            <w:gridSpan w:val="9"/>
          </w:tcPr>
          <w:p w14:paraId="5BB9A488" w14:textId="77777777" w:rsidR="008D25DC" w:rsidRPr="006258E5" w:rsidRDefault="008D25DC" w:rsidP="00984655">
            <w:pPr>
              <w:keepNext/>
              <w:jc w:val="center"/>
              <w:outlineLvl w:val="1"/>
              <w:rPr>
                <w:b/>
                <w:i/>
                <w:sz w:val="18"/>
                <w:szCs w:val="18"/>
                <w:lang w:val="ro-RO" w:eastAsia="ro-RO"/>
              </w:rPr>
            </w:pPr>
          </w:p>
          <w:p w14:paraId="7BE9E220" w14:textId="77777777" w:rsidR="008D25DC" w:rsidRPr="006258E5" w:rsidRDefault="008D25DC" w:rsidP="00984655">
            <w:pPr>
              <w:keepNext/>
              <w:jc w:val="center"/>
              <w:outlineLvl w:val="1"/>
              <w:rPr>
                <w:b/>
                <w:sz w:val="18"/>
                <w:szCs w:val="18"/>
                <w:lang w:val="ro-RO" w:eastAsia="ro-RO"/>
              </w:rPr>
            </w:pPr>
            <w:r w:rsidRPr="006258E5">
              <w:rPr>
                <w:b/>
                <w:sz w:val="18"/>
                <w:szCs w:val="18"/>
                <w:lang w:val="ro-RO" w:eastAsia="ro-RO"/>
              </w:rPr>
              <w:t>Secţiunea 1</w:t>
            </w:r>
          </w:p>
          <w:p w14:paraId="5694D4F8" w14:textId="77777777" w:rsidR="008D25DC" w:rsidRPr="006258E5" w:rsidRDefault="008D25DC" w:rsidP="00984655">
            <w:pPr>
              <w:keepNext/>
              <w:jc w:val="center"/>
              <w:outlineLvl w:val="1"/>
              <w:rPr>
                <w:b/>
                <w:sz w:val="18"/>
                <w:szCs w:val="18"/>
                <w:lang w:val="ro-RO" w:eastAsia="ro-RO"/>
              </w:rPr>
            </w:pPr>
            <w:r w:rsidRPr="006258E5">
              <w:rPr>
                <w:b/>
                <w:sz w:val="18"/>
                <w:szCs w:val="18"/>
                <w:lang w:val="ro-RO" w:eastAsia="ro-RO"/>
              </w:rPr>
              <w:t>Titlul actului normativ</w:t>
            </w:r>
          </w:p>
          <w:p w14:paraId="26BB04F0" w14:textId="77777777" w:rsidR="008D25DC" w:rsidRPr="006258E5" w:rsidRDefault="008D25DC" w:rsidP="00984655">
            <w:pPr>
              <w:keepNext/>
              <w:jc w:val="center"/>
              <w:outlineLvl w:val="1"/>
              <w:rPr>
                <w:b/>
                <w:i/>
                <w:sz w:val="18"/>
                <w:szCs w:val="18"/>
                <w:lang w:val="ro-RO" w:eastAsia="ro-RO"/>
              </w:rPr>
            </w:pPr>
          </w:p>
          <w:p w14:paraId="6FB932AB" w14:textId="77777777" w:rsidR="008D25DC" w:rsidRPr="006258E5" w:rsidRDefault="008D25DC" w:rsidP="00984655">
            <w:pPr>
              <w:keepNext/>
              <w:jc w:val="center"/>
              <w:outlineLvl w:val="1"/>
              <w:rPr>
                <w:b/>
                <w:i/>
                <w:spacing w:val="-2"/>
                <w:sz w:val="18"/>
                <w:szCs w:val="18"/>
                <w:lang w:val="ro-RO" w:eastAsia="ro-RO"/>
              </w:rPr>
            </w:pPr>
            <w:r w:rsidRPr="006258E5">
              <w:rPr>
                <w:b/>
                <w:spacing w:val="-2"/>
                <w:sz w:val="18"/>
                <w:szCs w:val="18"/>
                <w:lang w:val="ro-RO"/>
              </w:rPr>
              <w:t>LEGE</w:t>
            </w:r>
          </w:p>
          <w:p w14:paraId="412D9467" w14:textId="77777777" w:rsidR="008111F0" w:rsidRPr="006258E5" w:rsidRDefault="008D25DC" w:rsidP="005920C3">
            <w:pPr>
              <w:jc w:val="center"/>
              <w:rPr>
                <w:b/>
                <w:bCs/>
                <w:spacing w:val="-2"/>
                <w:sz w:val="18"/>
                <w:szCs w:val="18"/>
                <w:lang w:val="ro-RO"/>
              </w:rPr>
            </w:pPr>
            <w:r w:rsidRPr="006258E5">
              <w:rPr>
                <w:b/>
                <w:spacing w:val="-2"/>
                <w:sz w:val="18"/>
                <w:szCs w:val="18"/>
                <w:lang w:val="ro-RO"/>
              </w:rPr>
              <w:t xml:space="preserve">pentru modificarea și completarea Legii nr. </w:t>
            </w:r>
            <w:r w:rsidR="001730A2" w:rsidRPr="006258E5">
              <w:rPr>
                <w:b/>
                <w:bCs/>
                <w:spacing w:val="-2"/>
                <w:sz w:val="18"/>
                <w:szCs w:val="18"/>
                <w:lang w:val="ro-RO"/>
              </w:rPr>
              <w:t>256/2018</w:t>
            </w:r>
            <w:r w:rsidR="008111F0" w:rsidRPr="006258E5">
              <w:rPr>
                <w:b/>
                <w:bCs/>
                <w:spacing w:val="-2"/>
                <w:sz w:val="18"/>
                <w:szCs w:val="18"/>
                <w:lang w:val="ro-RO"/>
              </w:rPr>
              <w:t xml:space="preserve"> </w:t>
            </w:r>
          </w:p>
          <w:p w14:paraId="2F905E91" w14:textId="000765CC" w:rsidR="00432A65" w:rsidRPr="006258E5" w:rsidRDefault="008111F0" w:rsidP="00432A65">
            <w:pPr>
              <w:jc w:val="center"/>
              <w:rPr>
                <w:b/>
                <w:sz w:val="18"/>
                <w:szCs w:val="18"/>
                <w:lang w:val="ro-RO"/>
              </w:rPr>
            </w:pPr>
            <w:r w:rsidRPr="006258E5">
              <w:rPr>
                <w:b/>
                <w:bCs/>
                <w:spacing w:val="-2"/>
                <w:sz w:val="18"/>
                <w:szCs w:val="18"/>
                <w:lang w:val="ro-RO"/>
              </w:rPr>
              <w:t>privind unele măsuri necesare pentru implementarea operațiunilor petroliere de către titularii de acorduri petroliere referitoare la perimetre petroliere offshore</w:t>
            </w:r>
            <w:r w:rsidR="00432A65" w:rsidRPr="006258E5">
              <w:rPr>
                <w:b/>
                <w:bCs/>
                <w:spacing w:val="-2"/>
                <w:sz w:val="18"/>
                <w:szCs w:val="18"/>
                <w:lang w:val="ro-RO"/>
              </w:rPr>
              <w:t xml:space="preserve"> </w:t>
            </w:r>
          </w:p>
          <w:p w14:paraId="2ED9AEE7" w14:textId="5088AFF3" w:rsidR="008D25DC" w:rsidRPr="006258E5" w:rsidRDefault="008D25DC" w:rsidP="00984655">
            <w:pPr>
              <w:jc w:val="center"/>
              <w:rPr>
                <w:b/>
                <w:spacing w:val="-2"/>
                <w:sz w:val="18"/>
                <w:szCs w:val="18"/>
                <w:lang w:val="ro-RO"/>
              </w:rPr>
            </w:pPr>
          </w:p>
          <w:p w14:paraId="7017933B" w14:textId="77777777" w:rsidR="008D25DC" w:rsidRPr="006258E5" w:rsidRDefault="008D25DC" w:rsidP="00984655">
            <w:pPr>
              <w:jc w:val="center"/>
              <w:rPr>
                <w:b/>
                <w:spacing w:val="-2"/>
                <w:sz w:val="18"/>
                <w:szCs w:val="18"/>
                <w:lang w:val="ro-RO"/>
              </w:rPr>
            </w:pPr>
          </w:p>
          <w:p w14:paraId="53782AEE" w14:textId="77777777" w:rsidR="008D25DC" w:rsidRPr="006258E5" w:rsidRDefault="008D25DC" w:rsidP="00984655">
            <w:pPr>
              <w:jc w:val="center"/>
              <w:rPr>
                <w:b/>
                <w:color w:val="000000"/>
                <w:sz w:val="18"/>
                <w:szCs w:val="18"/>
                <w:lang w:val="ro-RO"/>
              </w:rPr>
            </w:pPr>
          </w:p>
        </w:tc>
      </w:tr>
      <w:tr w:rsidR="008D25DC" w:rsidRPr="006258E5" w14:paraId="4555C4BA" w14:textId="77777777" w:rsidTr="60891C03">
        <w:trPr>
          <w:trHeight w:val="503"/>
        </w:trPr>
        <w:tc>
          <w:tcPr>
            <w:tcW w:w="9871" w:type="dxa"/>
            <w:gridSpan w:val="9"/>
          </w:tcPr>
          <w:p w14:paraId="45C2489C" w14:textId="77777777" w:rsidR="008D25DC" w:rsidRPr="006258E5" w:rsidRDefault="008D25DC" w:rsidP="00984655">
            <w:pPr>
              <w:spacing w:line="340" w:lineRule="atLeast"/>
              <w:jc w:val="center"/>
              <w:rPr>
                <w:b/>
                <w:sz w:val="18"/>
                <w:szCs w:val="18"/>
                <w:lang w:val="ro-RO"/>
              </w:rPr>
            </w:pPr>
            <w:r w:rsidRPr="006258E5">
              <w:rPr>
                <w:b/>
                <w:sz w:val="18"/>
                <w:szCs w:val="18"/>
                <w:lang w:val="ro-RO"/>
              </w:rPr>
              <w:t>Secţiunea a 2-a Motivul emiterii actului normativ</w:t>
            </w:r>
          </w:p>
          <w:p w14:paraId="49686775" w14:textId="77777777" w:rsidR="008D25DC" w:rsidRPr="006258E5" w:rsidRDefault="008D25DC" w:rsidP="00984655">
            <w:pPr>
              <w:spacing w:line="340" w:lineRule="atLeast"/>
              <w:jc w:val="center"/>
              <w:rPr>
                <w:b/>
                <w:sz w:val="18"/>
                <w:szCs w:val="18"/>
                <w:lang w:val="ro-RO"/>
              </w:rPr>
            </w:pPr>
          </w:p>
        </w:tc>
      </w:tr>
      <w:tr w:rsidR="00E964B7" w:rsidRPr="006258E5" w14:paraId="5DBE9C1C" w14:textId="77777777" w:rsidTr="60891C03">
        <w:trPr>
          <w:trHeight w:val="350"/>
        </w:trPr>
        <w:tc>
          <w:tcPr>
            <w:tcW w:w="3351" w:type="dxa"/>
          </w:tcPr>
          <w:p w14:paraId="0668E984" w14:textId="77777777" w:rsidR="00E964B7" w:rsidRPr="006258E5" w:rsidRDefault="00E964B7" w:rsidP="00E964B7">
            <w:pPr>
              <w:pStyle w:val="ListParagraph"/>
              <w:tabs>
                <w:tab w:val="left" w:pos="252"/>
              </w:tabs>
              <w:spacing w:line="340" w:lineRule="atLeast"/>
              <w:ind w:left="0"/>
              <w:jc w:val="both"/>
              <w:rPr>
                <w:rFonts w:ascii="Times New Roman" w:hAnsi="Times New Roman" w:cs="Times New Roman"/>
                <w:sz w:val="18"/>
                <w:szCs w:val="18"/>
                <w:lang w:val="ro-RO"/>
              </w:rPr>
            </w:pPr>
            <w:r w:rsidRPr="006258E5">
              <w:rPr>
                <w:rFonts w:ascii="Times New Roman" w:hAnsi="Times New Roman" w:cs="Times New Roman"/>
                <w:b/>
                <w:sz w:val="18"/>
                <w:szCs w:val="18"/>
                <w:lang w:val="ro-RO"/>
              </w:rPr>
              <w:t>1. Descrierea situaţiei actuale</w:t>
            </w:r>
          </w:p>
          <w:p w14:paraId="01D32D8C" w14:textId="77777777" w:rsidR="00E964B7" w:rsidRPr="006258E5" w:rsidRDefault="00E964B7" w:rsidP="00E964B7">
            <w:pPr>
              <w:pStyle w:val="ListParagraph"/>
              <w:tabs>
                <w:tab w:val="left" w:pos="252"/>
              </w:tabs>
              <w:spacing w:line="340" w:lineRule="atLeast"/>
              <w:ind w:left="825"/>
              <w:jc w:val="both"/>
              <w:rPr>
                <w:rFonts w:ascii="Times New Roman" w:hAnsi="Times New Roman" w:cs="Times New Roman"/>
                <w:sz w:val="18"/>
                <w:szCs w:val="18"/>
                <w:lang w:val="ro-RO"/>
              </w:rPr>
            </w:pPr>
          </w:p>
        </w:tc>
        <w:tc>
          <w:tcPr>
            <w:tcW w:w="6520" w:type="dxa"/>
            <w:gridSpan w:val="8"/>
          </w:tcPr>
          <w:p w14:paraId="3CFD9FC5" w14:textId="7A2861B4" w:rsidR="00E964B7" w:rsidRPr="006258E5" w:rsidRDefault="00E964B7" w:rsidP="00E964B7">
            <w:pPr>
              <w:jc w:val="both"/>
              <w:rPr>
                <w:color w:val="000000"/>
                <w:sz w:val="18"/>
                <w:szCs w:val="18"/>
                <w:lang w:val="ro-RO"/>
              </w:rPr>
            </w:pPr>
            <w:r w:rsidRPr="006258E5">
              <w:rPr>
                <w:color w:val="000000" w:themeColor="text1"/>
                <w:sz w:val="18"/>
                <w:szCs w:val="18"/>
                <w:lang w:val="ro-RO"/>
              </w:rPr>
              <w:t>Asigurarea securității energetice este obiectivul esențial al politici</w:t>
            </w:r>
            <w:r w:rsidR="00351B3F" w:rsidRPr="006258E5">
              <w:rPr>
                <w:color w:val="000000" w:themeColor="text1"/>
                <w:sz w:val="18"/>
                <w:szCs w:val="18"/>
                <w:lang w:val="ro-RO"/>
              </w:rPr>
              <w:t>i</w:t>
            </w:r>
            <w:r w:rsidRPr="006258E5">
              <w:rPr>
                <w:color w:val="000000" w:themeColor="text1"/>
                <w:sz w:val="18"/>
                <w:szCs w:val="18"/>
                <w:lang w:val="ro-RO"/>
              </w:rPr>
              <w:t xml:space="preserve"> energetice</w:t>
            </w:r>
            <w:r w:rsidR="00311D91" w:rsidRPr="006258E5">
              <w:rPr>
                <w:color w:val="000000" w:themeColor="text1"/>
                <w:sz w:val="18"/>
                <w:szCs w:val="18"/>
                <w:lang w:val="ro-RO"/>
              </w:rPr>
              <w:t xml:space="preserve"> a României</w:t>
            </w:r>
            <w:r w:rsidRPr="006258E5">
              <w:rPr>
                <w:color w:val="000000" w:themeColor="text1"/>
                <w:sz w:val="18"/>
                <w:szCs w:val="18"/>
                <w:lang w:val="ro-RO"/>
              </w:rPr>
              <w:t xml:space="preserve">, în acord cu </w:t>
            </w:r>
            <w:r w:rsidR="0D4D541E" w:rsidRPr="006258E5">
              <w:rPr>
                <w:color w:val="000000" w:themeColor="text1"/>
                <w:sz w:val="18"/>
                <w:szCs w:val="18"/>
                <w:lang w:val="ro-RO"/>
              </w:rPr>
              <w:t>cel exprimat şi la nivel</w:t>
            </w:r>
            <w:r w:rsidRPr="006258E5">
              <w:rPr>
                <w:color w:val="000000" w:themeColor="text1"/>
                <w:sz w:val="18"/>
                <w:szCs w:val="18"/>
                <w:lang w:val="ro-RO"/>
              </w:rPr>
              <w:t xml:space="preserve"> european.</w:t>
            </w:r>
          </w:p>
          <w:p w14:paraId="68E71883" w14:textId="42A094BE" w:rsidR="00E964B7" w:rsidRPr="006258E5" w:rsidRDefault="00E964B7" w:rsidP="00E964B7">
            <w:pPr>
              <w:pStyle w:val="Default"/>
              <w:rPr>
                <w:sz w:val="18"/>
                <w:szCs w:val="18"/>
                <w:lang w:val="ro-RO"/>
              </w:rPr>
            </w:pPr>
            <w:r w:rsidRPr="006258E5">
              <w:rPr>
                <w:sz w:val="18"/>
                <w:szCs w:val="18"/>
                <w:lang w:val="ro-RO"/>
              </w:rPr>
              <w:t>Unul dintre obiectivele strategice asumate prin Programul de Guvernare, este modificarea și completarea Legii offshore nr.256/2018 în vederea demarării proiect</w:t>
            </w:r>
            <w:r w:rsidR="003740F0" w:rsidRPr="006258E5">
              <w:rPr>
                <w:sz w:val="18"/>
                <w:szCs w:val="18"/>
                <w:lang w:val="ro-RO"/>
              </w:rPr>
              <w:t>e</w:t>
            </w:r>
            <w:r w:rsidRPr="006258E5">
              <w:rPr>
                <w:sz w:val="18"/>
                <w:szCs w:val="18"/>
                <w:lang w:val="ro-RO"/>
              </w:rPr>
              <w:t>l</w:t>
            </w:r>
            <w:r w:rsidR="003740F0" w:rsidRPr="006258E5">
              <w:rPr>
                <w:sz w:val="18"/>
                <w:szCs w:val="18"/>
                <w:lang w:val="ro-RO"/>
              </w:rPr>
              <w:t>or</w:t>
            </w:r>
            <w:r w:rsidRPr="006258E5">
              <w:rPr>
                <w:sz w:val="18"/>
                <w:szCs w:val="18"/>
                <w:lang w:val="ro-RO"/>
              </w:rPr>
              <w:t xml:space="preserve"> strategic</w:t>
            </w:r>
            <w:r w:rsidR="003740F0" w:rsidRPr="006258E5">
              <w:rPr>
                <w:sz w:val="18"/>
                <w:szCs w:val="18"/>
                <w:lang w:val="ro-RO"/>
              </w:rPr>
              <w:t>e</w:t>
            </w:r>
            <w:r w:rsidRPr="006258E5">
              <w:rPr>
                <w:sz w:val="18"/>
                <w:szCs w:val="18"/>
                <w:lang w:val="ro-RO"/>
              </w:rPr>
              <w:t xml:space="preserve"> de </w:t>
            </w:r>
            <w:r w:rsidR="003740F0" w:rsidRPr="006258E5">
              <w:rPr>
                <w:sz w:val="18"/>
                <w:szCs w:val="18"/>
                <w:lang w:val="ro-RO"/>
              </w:rPr>
              <w:t>dezvoltare</w:t>
            </w:r>
            <w:r w:rsidR="004352C4" w:rsidRPr="006258E5">
              <w:rPr>
                <w:sz w:val="18"/>
                <w:szCs w:val="18"/>
                <w:lang w:val="ro-RO"/>
              </w:rPr>
              <w:t xml:space="preserve"> şi </w:t>
            </w:r>
            <w:r w:rsidRPr="006258E5">
              <w:rPr>
                <w:sz w:val="18"/>
                <w:szCs w:val="18"/>
                <w:lang w:val="ro-RO"/>
              </w:rPr>
              <w:t xml:space="preserve">exploatare a gazelor </w:t>
            </w:r>
            <w:r w:rsidR="4B391E5D" w:rsidRPr="006258E5">
              <w:rPr>
                <w:sz w:val="18"/>
                <w:szCs w:val="18"/>
                <w:lang w:val="ro-RO"/>
              </w:rPr>
              <w:t xml:space="preserve">naturale </w:t>
            </w:r>
            <w:r w:rsidRPr="006258E5">
              <w:rPr>
                <w:sz w:val="18"/>
                <w:szCs w:val="18"/>
                <w:lang w:val="ro-RO"/>
              </w:rPr>
              <w:t xml:space="preserve">din Marea Neagră pentru creșterea securității energetice, reducerea dependenței de gaze de import și asigurarea tranziției către </w:t>
            </w:r>
            <w:r w:rsidR="766FB616" w:rsidRPr="006258E5">
              <w:rPr>
                <w:sz w:val="18"/>
                <w:szCs w:val="18"/>
                <w:lang w:val="ro-RO"/>
              </w:rPr>
              <w:t xml:space="preserve">surse de </w:t>
            </w:r>
            <w:r w:rsidRPr="006258E5">
              <w:rPr>
                <w:sz w:val="18"/>
                <w:szCs w:val="18"/>
                <w:lang w:val="ro-RO"/>
              </w:rPr>
              <w:t>energi</w:t>
            </w:r>
            <w:r w:rsidR="5C3480D9" w:rsidRPr="006258E5">
              <w:rPr>
                <w:sz w:val="18"/>
                <w:szCs w:val="18"/>
                <w:lang w:val="ro-RO"/>
              </w:rPr>
              <w:t>e</w:t>
            </w:r>
            <w:r w:rsidRPr="006258E5">
              <w:rPr>
                <w:sz w:val="18"/>
                <w:szCs w:val="18"/>
                <w:lang w:val="ro-RO"/>
              </w:rPr>
              <w:t xml:space="preserve"> curate.         </w:t>
            </w:r>
          </w:p>
          <w:p w14:paraId="04A45287" w14:textId="77777777" w:rsidR="00E964B7" w:rsidRPr="006258E5" w:rsidRDefault="00E964B7" w:rsidP="00E964B7">
            <w:pPr>
              <w:jc w:val="both"/>
              <w:rPr>
                <w:sz w:val="18"/>
                <w:szCs w:val="18"/>
                <w:lang w:val="ro-RO"/>
              </w:rPr>
            </w:pPr>
          </w:p>
          <w:p w14:paraId="2EFEBEF7" w14:textId="2C7239A0" w:rsidR="00E964B7" w:rsidRPr="006258E5" w:rsidRDefault="00E964B7" w:rsidP="00E964B7">
            <w:pPr>
              <w:jc w:val="both"/>
              <w:rPr>
                <w:sz w:val="18"/>
                <w:szCs w:val="18"/>
                <w:lang w:val="ro-RO"/>
              </w:rPr>
            </w:pPr>
            <w:r w:rsidRPr="006258E5">
              <w:rPr>
                <w:sz w:val="18"/>
                <w:szCs w:val="18"/>
                <w:lang w:val="ro-RO"/>
              </w:rPr>
              <w:t xml:space="preserve">  Producția de gaze naturale din </w:t>
            </w:r>
            <w:r w:rsidR="005920C3" w:rsidRPr="006258E5">
              <w:rPr>
                <w:sz w:val="18"/>
                <w:szCs w:val="18"/>
                <w:lang w:val="ro-RO"/>
              </w:rPr>
              <w:t>România</w:t>
            </w:r>
            <w:r w:rsidRPr="006258E5">
              <w:rPr>
                <w:sz w:val="18"/>
                <w:szCs w:val="18"/>
                <w:lang w:val="ro-RO"/>
              </w:rPr>
              <w:t>, onshore</w:t>
            </w:r>
            <w:r w:rsidR="004352C4" w:rsidRPr="006258E5">
              <w:rPr>
                <w:sz w:val="18"/>
                <w:szCs w:val="18"/>
                <w:lang w:val="ro-RO"/>
              </w:rPr>
              <w:t xml:space="preserve"> şi </w:t>
            </w:r>
            <w:r w:rsidRPr="006258E5">
              <w:rPr>
                <w:sz w:val="18"/>
                <w:szCs w:val="18"/>
                <w:lang w:val="ro-RO"/>
              </w:rPr>
              <w:t xml:space="preserve">offshore acoperă aproximativ 30% din producția de energie primara a </w:t>
            </w:r>
            <w:r w:rsidR="00AB5B05" w:rsidRPr="006258E5">
              <w:rPr>
                <w:sz w:val="18"/>
                <w:szCs w:val="18"/>
                <w:lang w:val="ro-RO"/>
              </w:rPr>
              <w:t>ţă</w:t>
            </w:r>
            <w:r w:rsidRPr="006258E5">
              <w:rPr>
                <w:sz w:val="18"/>
                <w:szCs w:val="18"/>
                <w:lang w:val="ro-RO"/>
              </w:rPr>
              <w:t xml:space="preserve">rii. Zonele de producție onshore de gaze naturale ale României au fost intens exploatate </w:t>
            </w:r>
            <w:r w:rsidR="00AB5B05" w:rsidRPr="006258E5">
              <w:rPr>
                <w:sz w:val="18"/>
                <w:szCs w:val="18"/>
                <w:lang w:val="ro-RO"/>
              </w:rPr>
              <w:t>î</w:t>
            </w:r>
            <w:r w:rsidRPr="006258E5">
              <w:rPr>
                <w:sz w:val="18"/>
                <w:szCs w:val="18"/>
                <w:lang w:val="ro-RO"/>
              </w:rPr>
              <w:t xml:space="preserve">n ultimul secol, producția fiind </w:t>
            </w:r>
            <w:r w:rsidR="00AB5B05" w:rsidRPr="006258E5">
              <w:rPr>
                <w:sz w:val="18"/>
                <w:szCs w:val="18"/>
                <w:lang w:val="ro-RO"/>
              </w:rPr>
              <w:t>î</w:t>
            </w:r>
            <w:r w:rsidRPr="006258E5">
              <w:rPr>
                <w:sz w:val="18"/>
                <w:szCs w:val="18"/>
                <w:lang w:val="ro-RO"/>
              </w:rPr>
              <w:t xml:space="preserve">n prezent </w:t>
            </w:r>
            <w:r w:rsidR="00AB5B05" w:rsidRPr="006258E5">
              <w:rPr>
                <w:sz w:val="18"/>
                <w:szCs w:val="18"/>
                <w:lang w:val="ro-RO"/>
              </w:rPr>
              <w:t>î</w:t>
            </w:r>
            <w:r w:rsidR="00842DFA" w:rsidRPr="006258E5">
              <w:rPr>
                <w:sz w:val="18"/>
                <w:szCs w:val="18"/>
                <w:lang w:val="ro-RO"/>
              </w:rPr>
              <w:t>ntr-o continu</w:t>
            </w:r>
            <w:r w:rsidR="00AB5B05" w:rsidRPr="006258E5">
              <w:rPr>
                <w:sz w:val="18"/>
                <w:szCs w:val="18"/>
                <w:lang w:val="ro-RO"/>
              </w:rPr>
              <w:t>ă</w:t>
            </w:r>
            <w:r w:rsidR="00842DFA" w:rsidRPr="006258E5">
              <w:rPr>
                <w:sz w:val="18"/>
                <w:szCs w:val="18"/>
                <w:lang w:val="ro-RO"/>
              </w:rPr>
              <w:t xml:space="preserve"> descre</w:t>
            </w:r>
            <w:r w:rsidR="002A59BC" w:rsidRPr="006258E5">
              <w:rPr>
                <w:sz w:val="18"/>
                <w:szCs w:val="18"/>
                <w:lang w:val="ro-RO"/>
              </w:rPr>
              <w:t>ş</w:t>
            </w:r>
            <w:r w:rsidR="00842DFA" w:rsidRPr="006258E5">
              <w:rPr>
                <w:sz w:val="18"/>
                <w:szCs w:val="18"/>
                <w:lang w:val="ro-RO"/>
              </w:rPr>
              <w:t>tere</w:t>
            </w:r>
            <w:r w:rsidRPr="006258E5">
              <w:rPr>
                <w:sz w:val="18"/>
                <w:szCs w:val="18"/>
                <w:lang w:val="ro-RO"/>
              </w:rPr>
              <w:t>. Producția intern</w:t>
            </w:r>
            <w:r w:rsidR="00AB5B05" w:rsidRPr="006258E5">
              <w:rPr>
                <w:sz w:val="18"/>
                <w:szCs w:val="18"/>
                <w:lang w:val="ro-RO"/>
              </w:rPr>
              <w:t>ă</w:t>
            </w:r>
            <w:r w:rsidRPr="006258E5">
              <w:rPr>
                <w:sz w:val="18"/>
                <w:szCs w:val="18"/>
                <w:lang w:val="ro-RO"/>
              </w:rPr>
              <w:t xml:space="preserve"> de gaze naturale </w:t>
            </w:r>
            <w:r w:rsidR="00AB5B05" w:rsidRPr="006258E5">
              <w:rPr>
                <w:sz w:val="18"/>
                <w:szCs w:val="18"/>
                <w:lang w:val="ro-RO"/>
              </w:rPr>
              <w:t>î</w:t>
            </w:r>
            <w:r w:rsidRPr="006258E5">
              <w:rPr>
                <w:sz w:val="18"/>
                <w:szCs w:val="18"/>
                <w:lang w:val="ro-RO"/>
              </w:rPr>
              <w:t>n scădere a fost compensat</w:t>
            </w:r>
            <w:r w:rsidR="00AB5B05" w:rsidRPr="006258E5">
              <w:rPr>
                <w:sz w:val="18"/>
                <w:szCs w:val="18"/>
                <w:lang w:val="ro-RO"/>
              </w:rPr>
              <w:t>ă</w:t>
            </w:r>
            <w:r w:rsidRPr="006258E5">
              <w:rPr>
                <w:sz w:val="18"/>
                <w:szCs w:val="18"/>
                <w:lang w:val="ro-RO"/>
              </w:rPr>
              <w:t xml:space="preserve"> prin importuri, ceea ce a dus la venituri mai mici la bugetul de stat, creșterea deficitului de cont curent, pierderi de locuri de munc</w:t>
            </w:r>
            <w:r w:rsidR="002A59BC" w:rsidRPr="006258E5">
              <w:rPr>
                <w:sz w:val="18"/>
                <w:szCs w:val="18"/>
                <w:lang w:val="ro-RO"/>
              </w:rPr>
              <w:t>ă</w:t>
            </w:r>
            <w:r w:rsidRPr="006258E5">
              <w:rPr>
                <w:sz w:val="18"/>
                <w:szCs w:val="18"/>
                <w:lang w:val="ro-RO"/>
              </w:rPr>
              <w:t xml:space="preserve"> precum </w:t>
            </w:r>
            <w:r w:rsidR="002A59BC" w:rsidRPr="006258E5">
              <w:rPr>
                <w:sz w:val="18"/>
                <w:szCs w:val="18"/>
                <w:lang w:val="ro-RO"/>
              </w:rPr>
              <w:t>ş</w:t>
            </w:r>
            <w:r w:rsidRPr="006258E5">
              <w:rPr>
                <w:sz w:val="18"/>
                <w:szCs w:val="18"/>
                <w:lang w:val="ro-RO"/>
              </w:rPr>
              <w:t xml:space="preserve">i costuri mai mari pentru populație </w:t>
            </w:r>
            <w:r w:rsidR="002A59BC" w:rsidRPr="006258E5">
              <w:rPr>
                <w:sz w:val="18"/>
                <w:szCs w:val="18"/>
                <w:lang w:val="ro-RO"/>
              </w:rPr>
              <w:t>ş</w:t>
            </w:r>
            <w:r w:rsidRPr="006258E5">
              <w:rPr>
                <w:sz w:val="18"/>
                <w:szCs w:val="18"/>
                <w:lang w:val="ro-RO"/>
              </w:rPr>
              <w:t>i industrie.</w:t>
            </w:r>
          </w:p>
          <w:p w14:paraId="7DF0CCDD" w14:textId="2E9A098F" w:rsidR="00E964B7" w:rsidRPr="006258E5" w:rsidRDefault="00E964B7" w:rsidP="00E964B7">
            <w:pPr>
              <w:jc w:val="both"/>
              <w:rPr>
                <w:sz w:val="18"/>
                <w:szCs w:val="18"/>
                <w:lang w:val="ro-RO"/>
              </w:rPr>
            </w:pPr>
            <w:r w:rsidRPr="006258E5">
              <w:rPr>
                <w:sz w:val="18"/>
                <w:szCs w:val="18"/>
                <w:lang w:val="ro-RO"/>
              </w:rPr>
              <w:t xml:space="preserve">        </w:t>
            </w:r>
            <w:r w:rsidR="002A59BC" w:rsidRPr="006258E5">
              <w:rPr>
                <w:sz w:val="18"/>
                <w:szCs w:val="18"/>
                <w:lang w:val="ro-RO"/>
              </w:rPr>
              <w:t>Î</w:t>
            </w:r>
            <w:r w:rsidRPr="006258E5">
              <w:rPr>
                <w:sz w:val="18"/>
                <w:szCs w:val="18"/>
                <w:lang w:val="ro-RO"/>
              </w:rPr>
              <w:t xml:space="preserve">n vederea dezvoltării resurselor interne de gaze naturale, un aport semnificativ îl pot avea </w:t>
            </w:r>
            <w:r w:rsidR="004A0A5D" w:rsidRPr="006258E5">
              <w:rPr>
                <w:sz w:val="18"/>
                <w:szCs w:val="18"/>
                <w:lang w:val="ro-RO"/>
              </w:rPr>
              <w:t xml:space="preserve">resursele </w:t>
            </w:r>
            <w:r w:rsidRPr="006258E5">
              <w:rPr>
                <w:sz w:val="18"/>
                <w:szCs w:val="18"/>
                <w:lang w:val="ro-RO"/>
              </w:rPr>
              <w:t>din Marea Neagră, care necesită însă investiții substanțiale</w:t>
            </w:r>
            <w:r w:rsidR="004A0A5D" w:rsidRPr="006258E5">
              <w:rPr>
                <w:sz w:val="18"/>
                <w:szCs w:val="18"/>
                <w:lang w:val="ro-RO"/>
              </w:rPr>
              <w:t xml:space="preserve"> </w:t>
            </w:r>
            <w:r w:rsidR="00E97E6A" w:rsidRPr="006258E5">
              <w:rPr>
                <w:sz w:val="18"/>
                <w:szCs w:val="18"/>
                <w:lang w:val="ro-RO"/>
              </w:rPr>
              <w:t>în activitățile de explorare și dezvoltare</w:t>
            </w:r>
            <w:r w:rsidRPr="006258E5">
              <w:rPr>
                <w:sz w:val="18"/>
                <w:szCs w:val="18"/>
                <w:lang w:val="ro-RO"/>
              </w:rPr>
              <w:t xml:space="preserve">.  </w:t>
            </w:r>
          </w:p>
          <w:p w14:paraId="19F030E6" w14:textId="0BCCDF78" w:rsidR="00E964B7" w:rsidRPr="006258E5" w:rsidRDefault="00E964B7" w:rsidP="00E964B7">
            <w:pPr>
              <w:pStyle w:val="ListParagraph"/>
              <w:spacing w:line="276" w:lineRule="auto"/>
              <w:ind w:left="0"/>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 xml:space="preserve">        </w:t>
            </w:r>
            <w:r w:rsidR="002A59BC" w:rsidRPr="006258E5">
              <w:rPr>
                <w:rFonts w:ascii="Times New Roman" w:hAnsi="Times New Roman" w:cs="Times New Roman"/>
                <w:sz w:val="18"/>
                <w:szCs w:val="18"/>
                <w:lang w:val="ro-RO"/>
              </w:rPr>
              <w:t>Î</w:t>
            </w:r>
            <w:r w:rsidRPr="006258E5">
              <w:rPr>
                <w:rFonts w:ascii="Times New Roman" w:hAnsi="Times New Roman" w:cs="Times New Roman"/>
                <w:sz w:val="18"/>
                <w:szCs w:val="18"/>
                <w:lang w:val="ro-RO"/>
              </w:rPr>
              <w:t xml:space="preserve">n ultimii 15 ani operatorii din sector au investit peste 3,5 mld USD </w:t>
            </w:r>
            <w:r w:rsidR="002A59BC" w:rsidRPr="006258E5">
              <w:rPr>
                <w:rFonts w:ascii="Times New Roman" w:hAnsi="Times New Roman" w:cs="Times New Roman"/>
                <w:sz w:val="18"/>
                <w:szCs w:val="18"/>
                <w:lang w:val="ro-RO"/>
              </w:rPr>
              <w:t>î</w:t>
            </w:r>
            <w:r w:rsidRPr="006258E5">
              <w:rPr>
                <w:rFonts w:ascii="Times New Roman" w:hAnsi="Times New Roman" w:cs="Times New Roman"/>
                <w:sz w:val="18"/>
                <w:szCs w:val="18"/>
                <w:lang w:val="ro-RO"/>
              </w:rPr>
              <w:t xml:space="preserve">n proiecte de explorare, dezvoltare </w:t>
            </w:r>
            <w:r w:rsidR="002A59BC" w:rsidRPr="006258E5">
              <w:rPr>
                <w:rFonts w:ascii="Times New Roman" w:hAnsi="Times New Roman" w:cs="Times New Roman"/>
                <w:sz w:val="18"/>
                <w:szCs w:val="18"/>
                <w:lang w:val="ro-RO"/>
              </w:rPr>
              <w:t>ş</w:t>
            </w:r>
            <w:r w:rsidRPr="006258E5">
              <w:rPr>
                <w:rFonts w:ascii="Times New Roman" w:hAnsi="Times New Roman" w:cs="Times New Roman"/>
                <w:sz w:val="18"/>
                <w:szCs w:val="18"/>
                <w:lang w:val="ro-RO"/>
              </w:rPr>
              <w:t xml:space="preserve">i producție de gaze naturale offshore, din care aproximativ 2,5 miliarde de dolari în activitățile de explorare și peste 1 miliard de dolari în activități de dezvoltare și redezvoltare pentru zăcăminte existente. Aceste proiecte, orientate spre punerea </w:t>
            </w:r>
            <w:r w:rsidR="002A59BC" w:rsidRPr="006258E5">
              <w:rPr>
                <w:rFonts w:ascii="Times New Roman" w:hAnsi="Times New Roman" w:cs="Times New Roman"/>
                <w:sz w:val="18"/>
                <w:szCs w:val="18"/>
                <w:lang w:val="ro-RO"/>
              </w:rPr>
              <w:t>î</w:t>
            </w:r>
            <w:r w:rsidRPr="006258E5">
              <w:rPr>
                <w:rFonts w:ascii="Times New Roman" w:hAnsi="Times New Roman" w:cs="Times New Roman"/>
                <w:sz w:val="18"/>
                <w:szCs w:val="18"/>
                <w:lang w:val="ro-RO"/>
              </w:rPr>
              <w:t>n valoare a noi resurse, sunt inițiate de investitori cu experienț</w:t>
            </w:r>
            <w:r w:rsidR="002A59BC" w:rsidRPr="006258E5">
              <w:rPr>
                <w:rFonts w:ascii="Times New Roman" w:hAnsi="Times New Roman" w:cs="Times New Roman"/>
                <w:sz w:val="18"/>
                <w:szCs w:val="18"/>
                <w:lang w:val="ro-RO"/>
              </w:rPr>
              <w:t>ă</w:t>
            </w:r>
            <w:r w:rsidRPr="006258E5">
              <w:rPr>
                <w:rFonts w:ascii="Times New Roman" w:hAnsi="Times New Roman" w:cs="Times New Roman"/>
                <w:sz w:val="18"/>
                <w:szCs w:val="18"/>
                <w:lang w:val="ro-RO"/>
              </w:rPr>
              <w:t xml:space="preserve">, care </w:t>
            </w:r>
            <w:r w:rsidR="004352C4" w:rsidRPr="006258E5">
              <w:rPr>
                <w:rFonts w:ascii="Times New Roman" w:hAnsi="Times New Roman" w:cs="Times New Roman"/>
                <w:sz w:val="18"/>
                <w:szCs w:val="18"/>
                <w:lang w:val="ro-RO"/>
              </w:rPr>
              <w:t>ş</w:t>
            </w:r>
            <w:r w:rsidRPr="006258E5">
              <w:rPr>
                <w:rFonts w:ascii="Times New Roman" w:hAnsi="Times New Roman" w:cs="Times New Roman"/>
                <w:sz w:val="18"/>
                <w:szCs w:val="18"/>
                <w:lang w:val="ro-RO"/>
              </w:rPr>
              <w:t xml:space="preserve">i-au asumat riscuri considerabile la momentul la care au luat decizia de a investi </w:t>
            </w:r>
            <w:r w:rsidR="004352C4" w:rsidRPr="006258E5">
              <w:rPr>
                <w:rFonts w:ascii="Times New Roman" w:hAnsi="Times New Roman" w:cs="Times New Roman"/>
                <w:sz w:val="18"/>
                <w:szCs w:val="18"/>
                <w:lang w:val="ro-RO"/>
              </w:rPr>
              <w:t xml:space="preserve">în </w:t>
            </w:r>
            <w:r w:rsidRPr="006258E5">
              <w:rPr>
                <w:rFonts w:ascii="Times New Roman" w:hAnsi="Times New Roman" w:cs="Times New Roman"/>
                <w:sz w:val="18"/>
                <w:szCs w:val="18"/>
                <w:lang w:val="ro-RO"/>
              </w:rPr>
              <w:t>proiectele de explorare din Marea Neagr</w:t>
            </w:r>
            <w:r w:rsidR="004352C4" w:rsidRPr="006258E5">
              <w:rPr>
                <w:rFonts w:ascii="Times New Roman" w:hAnsi="Times New Roman" w:cs="Times New Roman"/>
                <w:sz w:val="18"/>
                <w:szCs w:val="18"/>
                <w:lang w:val="ro-RO"/>
              </w:rPr>
              <w:t>ă,</w:t>
            </w:r>
            <w:r w:rsidRPr="006258E5">
              <w:rPr>
                <w:rFonts w:ascii="Times New Roman" w:hAnsi="Times New Roman" w:cs="Times New Roman"/>
                <w:sz w:val="18"/>
                <w:szCs w:val="18"/>
                <w:lang w:val="ro-RO"/>
              </w:rPr>
              <w:t xml:space="preserve"> pe baza premisei menținerii unui climat legislativ stabil pentru toat</w:t>
            </w:r>
            <w:r w:rsidR="004352C4" w:rsidRPr="006258E5">
              <w:rPr>
                <w:rFonts w:ascii="Times New Roman" w:hAnsi="Times New Roman" w:cs="Times New Roman"/>
                <w:sz w:val="18"/>
                <w:szCs w:val="18"/>
                <w:lang w:val="ro-RO"/>
              </w:rPr>
              <w:t>ă</w:t>
            </w:r>
            <w:r w:rsidRPr="006258E5">
              <w:rPr>
                <w:rFonts w:ascii="Times New Roman" w:hAnsi="Times New Roman" w:cs="Times New Roman"/>
                <w:sz w:val="18"/>
                <w:szCs w:val="18"/>
                <w:lang w:val="ro-RO"/>
              </w:rPr>
              <w:t xml:space="preserve"> durata prevăzută </w:t>
            </w:r>
            <w:r w:rsidR="004352C4" w:rsidRPr="006258E5">
              <w:rPr>
                <w:rFonts w:ascii="Times New Roman" w:hAnsi="Times New Roman" w:cs="Times New Roman"/>
                <w:sz w:val="18"/>
                <w:szCs w:val="18"/>
                <w:lang w:val="ro-RO"/>
              </w:rPr>
              <w:t>î</w:t>
            </w:r>
            <w:r w:rsidRPr="006258E5">
              <w:rPr>
                <w:rFonts w:ascii="Times New Roman" w:hAnsi="Times New Roman" w:cs="Times New Roman"/>
                <w:sz w:val="18"/>
                <w:szCs w:val="18"/>
                <w:lang w:val="ro-RO"/>
              </w:rPr>
              <w:t xml:space="preserve">n acordurile petroliere.  </w:t>
            </w:r>
          </w:p>
          <w:p w14:paraId="2E90AFB6" w14:textId="6554AB38" w:rsidR="00E964B7" w:rsidRPr="006258E5" w:rsidRDefault="00E964B7" w:rsidP="00E964B7">
            <w:pPr>
              <w:jc w:val="both"/>
              <w:rPr>
                <w:sz w:val="18"/>
                <w:szCs w:val="18"/>
                <w:lang w:val="ro-RO"/>
              </w:rPr>
            </w:pPr>
            <w:r w:rsidRPr="006258E5">
              <w:rPr>
                <w:sz w:val="18"/>
                <w:szCs w:val="18"/>
                <w:lang w:val="ro-RO"/>
              </w:rPr>
              <w:t xml:space="preserve">          Pe lângă costurile ridicate de explorare</w:t>
            </w:r>
            <w:r w:rsidR="00FD339B" w:rsidRPr="006258E5">
              <w:rPr>
                <w:sz w:val="18"/>
                <w:szCs w:val="18"/>
                <w:lang w:val="ro-RO"/>
              </w:rPr>
              <w:t>, dezvoltare</w:t>
            </w:r>
            <w:r w:rsidRPr="006258E5">
              <w:rPr>
                <w:sz w:val="18"/>
                <w:szCs w:val="18"/>
                <w:lang w:val="ro-RO"/>
              </w:rPr>
              <w:t xml:space="preserve"> </w:t>
            </w:r>
            <w:r w:rsidR="004352C4" w:rsidRPr="006258E5">
              <w:rPr>
                <w:sz w:val="18"/>
                <w:szCs w:val="18"/>
                <w:lang w:val="ro-RO"/>
              </w:rPr>
              <w:t>ş</w:t>
            </w:r>
            <w:r w:rsidRPr="006258E5">
              <w:rPr>
                <w:sz w:val="18"/>
                <w:szCs w:val="18"/>
                <w:lang w:val="ro-RO"/>
              </w:rPr>
              <w:t xml:space="preserve">i exploatare </w:t>
            </w:r>
            <w:r w:rsidR="004352C4" w:rsidRPr="006258E5">
              <w:rPr>
                <w:sz w:val="18"/>
                <w:szCs w:val="18"/>
                <w:lang w:val="ro-RO"/>
              </w:rPr>
              <w:t>î</w:t>
            </w:r>
            <w:r w:rsidRPr="006258E5">
              <w:rPr>
                <w:sz w:val="18"/>
                <w:szCs w:val="18"/>
                <w:lang w:val="ro-RO"/>
              </w:rPr>
              <w:t xml:space="preserve">n general, activitatea de explorare </w:t>
            </w:r>
            <w:r w:rsidR="004352C4" w:rsidRPr="006258E5">
              <w:rPr>
                <w:sz w:val="18"/>
                <w:szCs w:val="18"/>
                <w:lang w:val="ro-RO"/>
              </w:rPr>
              <w:t xml:space="preserve">în </w:t>
            </w:r>
            <w:r w:rsidRPr="006258E5">
              <w:rPr>
                <w:sz w:val="18"/>
                <w:szCs w:val="18"/>
                <w:lang w:val="ro-RO"/>
              </w:rPr>
              <w:t xml:space="preserve">zone de frontieră precum Marea Neagră, are rate de succes reduse. </w:t>
            </w:r>
            <w:r w:rsidR="004352C4" w:rsidRPr="006258E5">
              <w:rPr>
                <w:sz w:val="18"/>
                <w:szCs w:val="18"/>
                <w:lang w:val="ro-RO"/>
              </w:rPr>
              <w:t>În</w:t>
            </w:r>
            <w:r w:rsidRPr="006258E5">
              <w:rPr>
                <w:sz w:val="18"/>
                <w:szCs w:val="18"/>
                <w:lang w:val="ro-RO"/>
              </w:rPr>
              <w:t xml:space="preserve"> plus, riscurile asumate sunt foarte mari deoarece doar 20-30% din sondele de explorare offshore se concretizează </w:t>
            </w:r>
            <w:r w:rsidR="004352C4" w:rsidRPr="006258E5">
              <w:rPr>
                <w:sz w:val="18"/>
                <w:szCs w:val="18"/>
                <w:lang w:val="ro-RO"/>
              </w:rPr>
              <w:t xml:space="preserve">în </w:t>
            </w:r>
            <w:r w:rsidRPr="006258E5">
              <w:rPr>
                <w:sz w:val="18"/>
                <w:szCs w:val="18"/>
                <w:lang w:val="ro-RO"/>
              </w:rPr>
              <w:t xml:space="preserve">descoperiri comerciale. </w:t>
            </w:r>
          </w:p>
          <w:p w14:paraId="7FB1AFE1" w14:textId="7C397A7A" w:rsidR="00E964B7" w:rsidRPr="006258E5" w:rsidRDefault="00E964B7" w:rsidP="00E964B7">
            <w:pPr>
              <w:jc w:val="both"/>
              <w:rPr>
                <w:sz w:val="18"/>
                <w:szCs w:val="18"/>
                <w:lang w:val="ro-RO"/>
              </w:rPr>
            </w:pPr>
            <w:r w:rsidRPr="006258E5">
              <w:rPr>
                <w:sz w:val="18"/>
                <w:szCs w:val="18"/>
                <w:lang w:val="ro-RO"/>
              </w:rPr>
              <w:t xml:space="preserve">          Durata de viață a proiectelor offshore este mult mai mare comparativ cu alte proiecte de investiții, fiind necesari, </w:t>
            </w:r>
            <w:r w:rsidR="004352C4" w:rsidRPr="006258E5">
              <w:rPr>
                <w:sz w:val="18"/>
                <w:szCs w:val="18"/>
                <w:lang w:val="ro-RO"/>
              </w:rPr>
              <w:t xml:space="preserve">în </w:t>
            </w:r>
            <w:r w:rsidRPr="006258E5">
              <w:rPr>
                <w:sz w:val="18"/>
                <w:szCs w:val="18"/>
                <w:lang w:val="ro-RO"/>
              </w:rPr>
              <w:t xml:space="preserve">anumite cazuri, peste zece ani de la confirmarea descoperirilor zăcămintelor până la faza de producție.           </w:t>
            </w:r>
          </w:p>
          <w:p w14:paraId="5EB557FA" w14:textId="5B543E23" w:rsidR="00E964B7" w:rsidRPr="006258E5" w:rsidRDefault="00E964B7" w:rsidP="00E964B7">
            <w:pPr>
              <w:jc w:val="both"/>
              <w:rPr>
                <w:sz w:val="18"/>
                <w:szCs w:val="18"/>
                <w:lang w:val="ro-RO"/>
              </w:rPr>
            </w:pPr>
            <w:r w:rsidRPr="006258E5">
              <w:rPr>
                <w:sz w:val="18"/>
                <w:szCs w:val="18"/>
                <w:lang w:val="ro-RO"/>
              </w:rPr>
              <w:t xml:space="preserve">           Un alt risc asociat proiectelor de explorare, dezvoltare</w:t>
            </w:r>
            <w:r w:rsidR="004352C4" w:rsidRPr="006258E5">
              <w:rPr>
                <w:sz w:val="18"/>
                <w:szCs w:val="18"/>
                <w:lang w:val="ro-RO"/>
              </w:rPr>
              <w:t xml:space="preserve"> şi </w:t>
            </w:r>
            <w:r w:rsidRPr="006258E5">
              <w:rPr>
                <w:sz w:val="18"/>
                <w:szCs w:val="18"/>
                <w:lang w:val="ro-RO"/>
              </w:rPr>
              <w:t>producție de gaze naturale offshore este legat de incertitudinile tehnice</w:t>
            </w:r>
            <w:r w:rsidR="004352C4" w:rsidRPr="006258E5">
              <w:rPr>
                <w:sz w:val="18"/>
                <w:szCs w:val="18"/>
                <w:lang w:val="ro-RO"/>
              </w:rPr>
              <w:t xml:space="preserve"> şi </w:t>
            </w:r>
            <w:r w:rsidRPr="006258E5">
              <w:rPr>
                <w:sz w:val="18"/>
                <w:szCs w:val="18"/>
                <w:lang w:val="ro-RO"/>
              </w:rPr>
              <w:t>geologice pe care investitorii</w:t>
            </w:r>
            <w:r w:rsidR="004352C4" w:rsidRPr="006258E5">
              <w:rPr>
                <w:sz w:val="18"/>
                <w:szCs w:val="18"/>
                <w:lang w:val="ro-RO"/>
              </w:rPr>
              <w:t xml:space="preserve"> şi </w:t>
            </w:r>
            <w:r w:rsidRPr="006258E5">
              <w:rPr>
                <w:sz w:val="18"/>
                <w:szCs w:val="18"/>
                <w:lang w:val="ro-RO"/>
              </w:rPr>
              <w:t>le asum</w:t>
            </w:r>
            <w:r w:rsidR="004352C4" w:rsidRPr="006258E5">
              <w:rPr>
                <w:sz w:val="18"/>
                <w:szCs w:val="18"/>
                <w:lang w:val="ro-RO"/>
              </w:rPr>
              <w:t>ă</w:t>
            </w:r>
            <w:r w:rsidRPr="006258E5">
              <w:rPr>
                <w:sz w:val="18"/>
                <w:szCs w:val="18"/>
                <w:lang w:val="ro-RO"/>
              </w:rPr>
              <w:t xml:space="preserve"> </w:t>
            </w:r>
            <w:r w:rsidR="004352C4" w:rsidRPr="006258E5">
              <w:rPr>
                <w:sz w:val="18"/>
                <w:szCs w:val="18"/>
                <w:lang w:val="ro-RO"/>
              </w:rPr>
              <w:t>î</w:t>
            </w:r>
            <w:r w:rsidRPr="006258E5">
              <w:rPr>
                <w:sz w:val="18"/>
                <w:szCs w:val="18"/>
                <w:lang w:val="ro-RO"/>
              </w:rPr>
              <w:t>n etapele de explorare, amplificat de lipsa unei infrastructuri offshore în amonte.</w:t>
            </w:r>
          </w:p>
          <w:p w14:paraId="6DFCFACB" w14:textId="507EB76F" w:rsidR="00E964B7" w:rsidRPr="006258E5" w:rsidRDefault="00E964B7" w:rsidP="00E964B7">
            <w:pPr>
              <w:jc w:val="both"/>
              <w:rPr>
                <w:sz w:val="18"/>
                <w:szCs w:val="18"/>
                <w:lang w:val="ro-RO"/>
              </w:rPr>
            </w:pPr>
            <w:r w:rsidRPr="006258E5">
              <w:rPr>
                <w:sz w:val="18"/>
                <w:szCs w:val="18"/>
                <w:lang w:val="ro-RO"/>
              </w:rPr>
              <w:lastRenderedPageBreak/>
              <w:t xml:space="preserve">           Obținerea încrederii investitorilor, </w:t>
            </w:r>
            <w:r w:rsidR="004352C4" w:rsidRPr="006258E5">
              <w:rPr>
                <w:sz w:val="18"/>
                <w:szCs w:val="18"/>
                <w:lang w:val="ro-RO"/>
              </w:rPr>
              <w:t xml:space="preserve">în </w:t>
            </w:r>
            <w:r w:rsidRPr="006258E5">
              <w:rPr>
                <w:sz w:val="18"/>
                <w:szCs w:val="18"/>
                <w:lang w:val="ro-RO"/>
              </w:rPr>
              <w:t>general,</w:t>
            </w:r>
            <w:r w:rsidR="004352C4" w:rsidRPr="006258E5">
              <w:rPr>
                <w:sz w:val="18"/>
                <w:szCs w:val="18"/>
                <w:lang w:val="ro-RO"/>
              </w:rPr>
              <w:t xml:space="preserve"> şi </w:t>
            </w:r>
            <w:r w:rsidRPr="006258E5">
              <w:rPr>
                <w:sz w:val="18"/>
                <w:szCs w:val="18"/>
                <w:lang w:val="ro-RO"/>
              </w:rPr>
              <w:t>asigurarea condițiilor minime necesare realizării investițiilor specifice în perimetrele offshore din Marea Neagr</w:t>
            </w:r>
            <w:r w:rsidR="004352C4" w:rsidRPr="006258E5">
              <w:rPr>
                <w:sz w:val="18"/>
                <w:szCs w:val="18"/>
                <w:lang w:val="ro-RO"/>
              </w:rPr>
              <w:t>ă</w:t>
            </w:r>
            <w:r w:rsidRPr="006258E5">
              <w:rPr>
                <w:sz w:val="18"/>
                <w:szCs w:val="18"/>
                <w:lang w:val="ro-RO"/>
              </w:rPr>
              <w:t xml:space="preserve"> se realizează prin: a) stabilitatea fiscal</w:t>
            </w:r>
            <w:r w:rsidR="004352C4" w:rsidRPr="006258E5">
              <w:rPr>
                <w:sz w:val="18"/>
                <w:szCs w:val="18"/>
                <w:lang w:val="ro-RO"/>
              </w:rPr>
              <w:t>ă</w:t>
            </w:r>
            <w:r w:rsidRPr="006258E5">
              <w:rPr>
                <w:sz w:val="18"/>
                <w:szCs w:val="18"/>
                <w:lang w:val="ro-RO"/>
              </w:rPr>
              <w:t xml:space="preserve"> și a redevențelor; b) dezvoltarea unui cadru legislativ competitiv și stabil necesar valorificării pe termen lung a resurselor naturale. </w:t>
            </w:r>
          </w:p>
          <w:p w14:paraId="1D2E29F2" w14:textId="6B6FCBA7" w:rsidR="00E964B7" w:rsidRPr="006258E5" w:rsidRDefault="00E964B7" w:rsidP="00E964B7">
            <w:pPr>
              <w:jc w:val="both"/>
              <w:rPr>
                <w:sz w:val="18"/>
                <w:szCs w:val="18"/>
                <w:lang w:val="ro-RO"/>
              </w:rPr>
            </w:pPr>
            <w:r w:rsidRPr="006258E5">
              <w:rPr>
                <w:sz w:val="18"/>
                <w:szCs w:val="18"/>
                <w:lang w:val="ro-RO"/>
              </w:rPr>
              <w:t xml:space="preserve">            Impactul asupra economiei românești a investițiilor specifice pentru exploatarea descoperirilor de gaze naturale, precum și pentru continuarea operațiunilor de explorare și evaluare a unor noi resurse de hidrocarburi în perimetrele offshore din Marea </w:t>
            </w:r>
            <w:r w:rsidR="005920C3" w:rsidRPr="006258E5">
              <w:rPr>
                <w:sz w:val="18"/>
                <w:szCs w:val="18"/>
                <w:lang w:val="ro-RO"/>
              </w:rPr>
              <w:t>Neagră</w:t>
            </w:r>
            <w:r w:rsidRPr="006258E5">
              <w:rPr>
                <w:sz w:val="18"/>
                <w:szCs w:val="18"/>
                <w:lang w:val="ro-RO"/>
              </w:rPr>
              <w:t xml:space="preserve"> este semnificativ. Acesta se va concretiza prin creșterea securității energetice, contribuții semnificative la bugetul de stat</w:t>
            </w:r>
            <w:r w:rsidR="00DB5150" w:rsidRPr="006258E5">
              <w:rPr>
                <w:sz w:val="18"/>
                <w:szCs w:val="18"/>
                <w:lang w:val="ro-RO"/>
              </w:rPr>
              <w:t xml:space="preserve">, </w:t>
            </w:r>
            <w:r w:rsidR="008E7A69" w:rsidRPr="006258E5">
              <w:rPr>
                <w:sz w:val="18"/>
                <w:szCs w:val="18"/>
                <w:lang w:val="ro-RO"/>
              </w:rPr>
              <w:t xml:space="preserve">locuri de muncă </w:t>
            </w:r>
            <w:r w:rsidR="004352C4" w:rsidRPr="006258E5">
              <w:rPr>
                <w:sz w:val="18"/>
                <w:szCs w:val="18"/>
                <w:lang w:val="ro-RO"/>
              </w:rPr>
              <w:t xml:space="preserve">şi </w:t>
            </w:r>
            <w:r w:rsidRPr="006258E5">
              <w:rPr>
                <w:sz w:val="18"/>
                <w:szCs w:val="18"/>
                <w:lang w:val="ro-RO"/>
              </w:rPr>
              <w:t>o mai bun</w:t>
            </w:r>
            <w:r w:rsidR="004352C4" w:rsidRPr="006258E5">
              <w:rPr>
                <w:sz w:val="18"/>
                <w:szCs w:val="18"/>
                <w:lang w:val="ro-RO"/>
              </w:rPr>
              <w:t>ă</w:t>
            </w:r>
            <w:r w:rsidRPr="006258E5">
              <w:rPr>
                <w:sz w:val="18"/>
                <w:szCs w:val="18"/>
                <w:lang w:val="ro-RO"/>
              </w:rPr>
              <w:t xml:space="preserve"> poziționare a României pe harta energetic</w:t>
            </w:r>
            <w:r w:rsidR="004352C4" w:rsidRPr="006258E5">
              <w:rPr>
                <w:sz w:val="18"/>
                <w:szCs w:val="18"/>
                <w:lang w:val="ro-RO"/>
              </w:rPr>
              <w:t>ă</w:t>
            </w:r>
            <w:r w:rsidRPr="006258E5">
              <w:rPr>
                <w:sz w:val="18"/>
                <w:szCs w:val="18"/>
                <w:lang w:val="ro-RO"/>
              </w:rPr>
              <w:t xml:space="preserve"> a Europei.</w:t>
            </w:r>
          </w:p>
          <w:p w14:paraId="0F0BE77C" w14:textId="77F64CDF" w:rsidR="00E964B7" w:rsidRPr="006258E5" w:rsidRDefault="00E964B7" w:rsidP="00E964B7">
            <w:pPr>
              <w:jc w:val="both"/>
              <w:rPr>
                <w:sz w:val="18"/>
                <w:szCs w:val="18"/>
                <w:lang w:val="ro-RO"/>
              </w:rPr>
            </w:pPr>
            <w:r w:rsidRPr="006258E5">
              <w:rPr>
                <w:sz w:val="18"/>
                <w:szCs w:val="18"/>
                <w:lang w:val="ro-RO"/>
              </w:rPr>
              <w:t xml:space="preserve">            Din perspectiva impactului asupra mediului,  gazele naturale au emisii considerabil mai mici de poluanți atmosferici </w:t>
            </w:r>
            <w:r w:rsidR="004352C4" w:rsidRPr="006258E5">
              <w:rPr>
                <w:sz w:val="18"/>
                <w:szCs w:val="18"/>
                <w:lang w:val="ro-RO"/>
              </w:rPr>
              <w:t>ş</w:t>
            </w:r>
            <w:r w:rsidRPr="006258E5">
              <w:rPr>
                <w:sz w:val="18"/>
                <w:szCs w:val="18"/>
                <w:lang w:val="ro-RO"/>
              </w:rPr>
              <w:t>i cel mai important, reprezintă cel mai curat dintre combustibilii fosili, emisiile de carbon pe unitatea de energie fiind cu 40% mai mici decât ale cărbunelui.</w:t>
            </w:r>
            <w:r w:rsidR="00F84CD3" w:rsidRPr="006258E5">
              <w:rPr>
                <w:sz w:val="18"/>
                <w:szCs w:val="18"/>
                <w:lang w:val="ro-RO"/>
              </w:rPr>
              <w:t xml:space="preserve"> Gazele naturale </w:t>
            </w:r>
            <w:r w:rsidR="00500E5C" w:rsidRPr="006258E5">
              <w:rPr>
                <w:sz w:val="18"/>
                <w:szCs w:val="18"/>
                <w:lang w:val="ro-RO"/>
              </w:rPr>
              <w:t xml:space="preserve">din Marea Neagră </w:t>
            </w:r>
            <w:r w:rsidR="00F84CD3" w:rsidRPr="006258E5">
              <w:rPr>
                <w:sz w:val="18"/>
                <w:szCs w:val="18"/>
                <w:lang w:val="ro-RO"/>
              </w:rPr>
              <w:t>au un rol crucial în tranziția energetică</w:t>
            </w:r>
            <w:r w:rsidR="00405B80" w:rsidRPr="006258E5">
              <w:rPr>
                <w:sz w:val="18"/>
                <w:szCs w:val="18"/>
                <w:lang w:val="ro-RO"/>
              </w:rPr>
              <w:t xml:space="preserve"> </w:t>
            </w:r>
            <w:r w:rsidR="00500E5C" w:rsidRPr="006258E5">
              <w:rPr>
                <w:sz w:val="18"/>
                <w:szCs w:val="18"/>
                <w:lang w:val="ro-RO"/>
              </w:rPr>
              <w:t xml:space="preserve">a României și pot sprijini dezvoltarea </w:t>
            </w:r>
            <w:r w:rsidR="00764279" w:rsidRPr="006258E5">
              <w:rPr>
                <w:sz w:val="18"/>
                <w:szCs w:val="18"/>
                <w:lang w:val="ro-RO"/>
              </w:rPr>
              <w:t>noilor surse de energie, cum ar fi hidrogenul.</w:t>
            </w:r>
          </w:p>
          <w:p w14:paraId="56BC26DC" w14:textId="79D09DF1" w:rsidR="00E964B7" w:rsidRPr="006258E5" w:rsidRDefault="00E964B7" w:rsidP="00E964B7">
            <w:pPr>
              <w:jc w:val="both"/>
              <w:rPr>
                <w:sz w:val="18"/>
                <w:szCs w:val="18"/>
                <w:lang w:val="ro-RO"/>
              </w:rPr>
            </w:pPr>
            <w:r w:rsidRPr="006258E5">
              <w:rPr>
                <w:sz w:val="18"/>
                <w:szCs w:val="18"/>
                <w:lang w:val="ro-RO"/>
              </w:rPr>
              <w:t xml:space="preserve">          Continuarea investițiilor </w:t>
            </w:r>
            <w:r w:rsidR="004352C4" w:rsidRPr="006258E5">
              <w:rPr>
                <w:sz w:val="18"/>
                <w:szCs w:val="18"/>
                <w:lang w:val="ro-RO"/>
              </w:rPr>
              <w:t xml:space="preserve">în </w:t>
            </w:r>
            <w:r w:rsidRPr="006258E5">
              <w:rPr>
                <w:sz w:val="18"/>
                <w:szCs w:val="18"/>
                <w:lang w:val="ro-RO"/>
              </w:rPr>
              <w:t>perimetrele românești offshore din Marea  Neagr</w:t>
            </w:r>
            <w:r w:rsidR="004352C4" w:rsidRPr="006258E5">
              <w:rPr>
                <w:sz w:val="18"/>
                <w:szCs w:val="18"/>
                <w:lang w:val="ro-RO"/>
              </w:rPr>
              <w:t>ă</w:t>
            </w:r>
            <w:r w:rsidRPr="006258E5">
              <w:rPr>
                <w:sz w:val="18"/>
                <w:szCs w:val="18"/>
                <w:lang w:val="ro-RO"/>
              </w:rPr>
              <w:t xml:space="preserve"> necesit</w:t>
            </w:r>
            <w:r w:rsidR="004352C4" w:rsidRPr="006258E5">
              <w:rPr>
                <w:sz w:val="18"/>
                <w:szCs w:val="18"/>
                <w:lang w:val="ro-RO"/>
              </w:rPr>
              <w:t>ă</w:t>
            </w:r>
            <w:r w:rsidRPr="006258E5">
              <w:rPr>
                <w:sz w:val="18"/>
                <w:szCs w:val="18"/>
                <w:lang w:val="ro-RO"/>
              </w:rPr>
              <w:t xml:space="preserve"> un cadru de reglementare</w:t>
            </w:r>
            <w:r w:rsidR="004352C4" w:rsidRPr="006258E5">
              <w:rPr>
                <w:sz w:val="18"/>
                <w:szCs w:val="18"/>
                <w:lang w:val="ro-RO"/>
              </w:rPr>
              <w:t xml:space="preserve"> şi </w:t>
            </w:r>
            <w:r w:rsidRPr="006258E5">
              <w:rPr>
                <w:sz w:val="18"/>
                <w:szCs w:val="18"/>
                <w:lang w:val="ro-RO"/>
              </w:rPr>
              <w:t xml:space="preserve">fiscal adecvat, care </w:t>
            </w:r>
            <w:r w:rsidR="005920C3" w:rsidRPr="006258E5">
              <w:rPr>
                <w:sz w:val="18"/>
                <w:szCs w:val="18"/>
                <w:lang w:val="ro-RO"/>
              </w:rPr>
              <w:t>să</w:t>
            </w:r>
            <w:r w:rsidRPr="006258E5">
              <w:rPr>
                <w:sz w:val="18"/>
                <w:szCs w:val="18"/>
                <w:lang w:val="ro-RO"/>
              </w:rPr>
              <w:t xml:space="preserve"> permită creșterea șanselor ca investitorii s</w:t>
            </w:r>
            <w:r w:rsidR="004352C4" w:rsidRPr="006258E5">
              <w:rPr>
                <w:sz w:val="18"/>
                <w:szCs w:val="18"/>
                <w:lang w:val="ro-RO"/>
              </w:rPr>
              <w:t>ă</w:t>
            </w:r>
            <w:r w:rsidRPr="006258E5">
              <w:rPr>
                <w:sz w:val="18"/>
                <w:szCs w:val="18"/>
                <w:lang w:val="ro-RO"/>
              </w:rPr>
              <w:t xml:space="preserve"> ia deciziile de investiții, </w:t>
            </w:r>
            <w:r w:rsidR="004352C4" w:rsidRPr="006258E5">
              <w:rPr>
                <w:sz w:val="18"/>
                <w:szCs w:val="18"/>
                <w:lang w:val="ro-RO"/>
              </w:rPr>
              <w:t xml:space="preserve">în </w:t>
            </w:r>
            <w:r w:rsidRPr="006258E5">
              <w:rPr>
                <w:sz w:val="18"/>
                <w:szCs w:val="18"/>
                <w:lang w:val="ro-RO"/>
              </w:rPr>
              <w:t>contextul riscurilor crescute</w:t>
            </w:r>
            <w:r w:rsidR="004352C4" w:rsidRPr="006258E5">
              <w:rPr>
                <w:sz w:val="18"/>
                <w:szCs w:val="18"/>
                <w:lang w:val="ro-RO"/>
              </w:rPr>
              <w:t xml:space="preserve"> şi </w:t>
            </w:r>
            <w:r w:rsidRPr="006258E5">
              <w:rPr>
                <w:sz w:val="18"/>
                <w:szCs w:val="18"/>
                <w:lang w:val="ro-RO"/>
              </w:rPr>
              <w:t>a provocărilor tehnice menționate mai sus.</w:t>
            </w:r>
          </w:p>
          <w:p w14:paraId="0B2BA336" w14:textId="122BCA0D" w:rsidR="00E964B7" w:rsidRPr="006258E5" w:rsidRDefault="00E964B7" w:rsidP="00E964B7">
            <w:pPr>
              <w:jc w:val="both"/>
              <w:rPr>
                <w:sz w:val="18"/>
                <w:szCs w:val="18"/>
                <w:lang w:val="ro-RO"/>
              </w:rPr>
            </w:pPr>
            <w:r w:rsidRPr="006258E5">
              <w:rPr>
                <w:sz w:val="18"/>
                <w:szCs w:val="18"/>
                <w:lang w:val="ro-RO"/>
              </w:rPr>
              <w:t xml:space="preserve">          </w:t>
            </w:r>
            <w:r w:rsidR="004352C4" w:rsidRPr="006258E5">
              <w:rPr>
                <w:sz w:val="18"/>
                <w:szCs w:val="18"/>
                <w:lang w:val="ro-RO"/>
              </w:rPr>
              <w:t>În</w:t>
            </w:r>
            <w:r w:rsidRPr="006258E5">
              <w:rPr>
                <w:sz w:val="18"/>
                <w:szCs w:val="18"/>
                <w:lang w:val="ro-RO"/>
              </w:rPr>
              <w:t xml:space="preserve"> prezent, ținând cont de parametrii de taxare în vigoare, estimările indică o rentabilitate redusă a acestor proiecte de investiții.  </w:t>
            </w:r>
          </w:p>
          <w:p w14:paraId="24210791" w14:textId="65ECB96F" w:rsidR="00E964B7" w:rsidRPr="006258E5" w:rsidRDefault="00E964B7" w:rsidP="00E964B7">
            <w:pPr>
              <w:jc w:val="both"/>
              <w:rPr>
                <w:sz w:val="18"/>
                <w:szCs w:val="18"/>
                <w:lang w:val="ro-RO"/>
              </w:rPr>
            </w:pPr>
            <w:r w:rsidRPr="006258E5">
              <w:rPr>
                <w:sz w:val="18"/>
                <w:szCs w:val="18"/>
                <w:lang w:val="ro-RO"/>
              </w:rPr>
              <w:t xml:space="preserve">           </w:t>
            </w:r>
            <w:r w:rsidR="004352C4" w:rsidRPr="006258E5">
              <w:rPr>
                <w:sz w:val="18"/>
                <w:szCs w:val="18"/>
                <w:lang w:val="ro-RO"/>
              </w:rPr>
              <w:t xml:space="preserve">În </w:t>
            </w:r>
            <w:r w:rsidRPr="006258E5">
              <w:rPr>
                <w:sz w:val="18"/>
                <w:szCs w:val="18"/>
                <w:lang w:val="ro-RO"/>
              </w:rPr>
              <w:t>trecut, a fost recunoscut</w:t>
            </w:r>
            <w:r w:rsidR="004352C4" w:rsidRPr="006258E5">
              <w:rPr>
                <w:sz w:val="18"/>
                <w:szCs w:val="18"/>
                <w:lang w:val="ro-RO"/>
              </w:rPr>
              <w:t>ă</w:t>
            </w:r>
            <w:r w:rsidRPr="006258E5">
              <w:rPr>
                <w:sz w:val="18"/>
                <w:szCs w:val="18"/>
                <w:lang w:val="ro-RO"/>
              </w:rPr>
              <w:t xml:space="preserve"> nevoia de stabilitate fiscal</w:t>
            </w:r>
            <w:r w:rsidR="004352C4" w:rsidRPr="006258E5">
              <w:rPr>
                <w:sz w:val="18"/>
                <w:szCs w:val="18"/>
                <w:lang w:val="ro-RO"/>
              </w:rPr>
              <w:t>ă</w:t>
            </w:r>
            <w:r w:rsidRPr="006258E5">
              <w:rPr>
                <w:sz w:val="18"/>
                <w:szCs w:val="18"/>
                <w:lang w:val="ro-RO"/>
              </w:rPr>
              <w:t xml:space="preserve"> a acestor proiecte, încă de la momentul încheierii acordurilor petroliere </w:t>
            </w:r>
            <w:r w:rsidR="004352C4" w:rsidRPr="006258E5">
              <w:rPr>
                <w:sz w:val="18"/>
                <w:szCs w:val="18"/>
                <w:lang w:val="ro-RO"/>
              </w:rPr>
              <w:t>ş</w:t>
            </w:r>
            <w:r w:rsidRPr="006258E5">
              <w:rPr>
                <w:sz w:val="18"/>
                <w:szCs w:val="18"/>
                <w:lang w:val="ro-RO"/>
              </w:rPr>
              <w:t>i implicit, a deciziilor inițiale de investiții, potrivit prevederilor din Legea petrolului nr. 134/1995: Art. 13 (5); Legea petrolului nr. 238/2004: Art. 31 (2)</w:t>
            </w:r>
            <w:r w:rsidR="004352C4" w:rsidRPr="006258E5">
              <w:rPr>
                <w:sz w:val="18"/>
                <w:szCs w:val="18"/>
                <w:lang w:val="ro-RO"/>
              </w:rPr>
              <w:t xml:space="preserve"> şi </w:t>
            </w:r>
            <w:r w:rsidRPr="006258E5">
              <w:rPr>
                <w:sz w:val="18"/>
                <w:szCs w:val="18"/>
                <w:lang w:val="ro-RO"/>
              </w:rPr>
              <w:t>Art. 61 (1); Ordonanța de Urgenta a Guvernului nr. 160/1999 privind instituirea unor măsuri de stimulare a activității titularilor de acorduri petroliere</w:t>
            </w:r>
            <w:r w:rsidR="004352C4" w:rsidRPr="006258E5">
              <w:rPr>
                <w:sz w:val="18"/>
                <w:szCs w:val="18"/>
                <w:lang w:val="ro-RO"/>
              </w:rPr>
              <w:t xml:space="preserve"> şi </w:t>
            </w:r>
            <w:r w:rsidRPr="006258E5">
              <w:rPr>
                <w:sz w:val="18"/>
                <w:szCs w:val="18"/>
                <w:lang w:val="ro-RO"/>
              </w:rPr>
              <w:t>subcontractanților acestora, care desfășoară operațiuni petroliere în perimetre marine ce includ zone cu adâncime de apă de peste 100 metri, aprobata prin Legea nr. 399/2001 (OUG nr.160/1999): Art. 1, precum</w:t>
            </w:r>
            <w:r w:rsidR="004352C4" w:rsidRPr="006258E5">
              <w:rPr>
                <w:sz w:val="18"/>
                <w:szCs w:val="18"/>
                <w:lang w:val="ro-RO"/>
              </w:rPr>
              <w:t xml:space="preserve"> şi în</w:t>
            </w:r>
            <w:r w:rsidRPr="006258E5">
              <w:rPr>
                <w:sz w:val="18"/>
                <w:szCs w:val="18"/>
                <w:lang w:val="ro-RO"/>
              </w:rPr>
              <w:t xml:space="preserve"> clauzele de stabilitate cuprinse în acordurile petroliere individuale.</w:t>
            </w:r>
          </w:p>
          <w:p w14:paraId="222BFAF4" w14:textId="77777777" w:rsidR="00E964B7" w:rsidRPr="006258E5" w:rsidRDefault="00E964B7" w:rsidP="00E964B7">
            <w:pPr>
              <w:jc w:val="both"/>
              <w:rPr>
                <w:sz w:val="18"/>
                <w:szCs w:val="18"/>
                <w:lang w:val="ro-RO"/>
              </w:rPr>
            </w:pPr>
            <w:r w:rsidRPr="006258E5">
              <w:rPr>
                <w:sz w:val="18"/>
                <w:szCs w:val="18"/>
                <w:lang w:val="ro-RO"/>
              </w:rPr>
              <w:t xml:space="preserve">      </w:t>
            </w:r>
          </w:p>
          <w:p w14:paraId="1D86F701" w14:textId="77777777" w:rsidR="00E964B7" w:rsidRPr="006258E5" w:rsidRDefault="00E964B7" w:rsidP="00E964B7">
            <w:pPr>
              <w:jc w:val="both"/>
              <w:rPr>
                <w:sz w:val="18"/>
                <w:szCs w:val="18"/>
                <w:lang w:val="ro-RO"/>
              </w:rPr>
            </w:pPr>
          </w:p>
        </w:tc>
      </w:tr>
      <w:tr w:rsidR="00487414" w:rsidRPr="006258E5" w14:paraId="4EBE7BFA" w14:textId="77777777" w:rsidTr="60891C03">
        <w:trPr>
          <w:trHeight w:val="614"/>
        </w:trPr>
        <w:tc>
          <w:tcPr>
            <w:tcW w:w="3351" w:type="dxa"/>
          </w:tcPr>
          <w:p w14:paraId="7477B83C" w14:textId="77777777" w:rsidR="00487414" w:rsidRPr="006258E5" w:rsidRDefault="00487414" w:rsidP="00487414">
            <w:pPr>
              <w:spacing w:line="340" w:lineRule="atLeast"/>
              <w:rPr>
                <w:sz w:val="18"/>
                <w:szCs w:val="18"/>
                <w:lang w:val="ro-RO"/>
              </w:rPr>
            </w:pPr>
            <w:r w:rsidRPr="006258E5">
              <w:rPr>
                <w:b/>
                <w:sz w:val="18"/>
                <w:szCs w:val="18"/>
                <w:lang w:val="ro-RO"/>
              </w:rPr>
              <w:lastRenderedPageBreak/>
              <w:t>2. Schimbări preconizate</w:t>
            </w:r>
          </w:p>
        </w:tc>
        <w:tc>
          <w:tcPr>
            <w:tcW w:w="6520" w:type="dxa"/>
            <w:gridSpan w:val="8"/>
          </w:tcPr>
          <w:p w14:paraId="5B7C08A4" w14:textId="4B34F5C0" w:rsidR="00487414" w:rsidRPr="006258E5" w:rsidRDefault="004352C4" w:rsidP="001730A2">
            <w:pPr>
              <w:spacing w:before="120" w:after="120"/>
              <w:ind w:firstLine="489"/>
              <w:jc w:val="both"/>
              <w:rPr>
                <w:sz w:val="18"/>
                <w:szCs w:val="18"/>
                <w:lang w:val="ro-RO"/>
              </w:rPr>
            </w:pPr>
            <w:r w:rsidRPr="006258E5">
              <w:rPr>
                <w:sz w:val="18"/>
                <w:szCs w:val="18"/>
                <w:lang w:val="ro-RO"/>
              </w:rPr>
              <w:t>În</w:t>
            </w:r>
            <w:r w:rsidR="00487414" w:rsidRPr="006258E5">
              <w:rPr>
                <w:sz w:val="18"/>
                <w:szCs w:val="18"/>
                <w:lang w:val="ro-RO"/>
              </w:rPr>
              <w:t xml:space="preserve"> vederea susținerii  proiectelor de dezvoltare a resurselor de gaze naturale din Marea Neagr</w:t>
            </w:r>
            <w:r w:rsidRPr="006258E5">
              <w:rPr>
                <w:sz w:val="18"/>
                <w:szCs w:val="18"/>
                <w:lang w:val="ro-RO"/>
              </w:rPr>
              <w:t>ă şi</w:t>
            </w:r>
            <w:r w:rsidR="00487414" w:rsidRPr="006258E5">
              <w:rPr>
                <w:sz w:val="18"/>
                <w:szCs w:val="18"/>
                <w:lang w:val="ro-RO"/>
              </w:rPr>
              <w:t xml:space="preserve"> pentru a impulsiona producătorii din </w:t>
            </w:r>
            <w:r w:rsidR="005920C3" w:rsidRPr="006258E5">
              <w:rPr>
                <w:sz w:val="18"/>
                <w:szCs w:val="18"/>
                <w:lang w:val="ro-RO"/>
              </w:rPr>
              <w:t>România</w:t>
            </w:r>
            <w:r w:rsidR="00487414" w:rsidRPr="006258E5">
              <w:rPr>
                <w:sz w:val="18"/>
                <w:szCs w:val="18"/>
                <w:lang w:val="ro-RO"/>
              </w:rPr>
              <w:t xml:space="preserve"> </w:t>
            </w:r>
            <w:r w:rsidR="005920C3" w:rsidRPr="006258E5">
              <w:rPr>
                <w:sz w:val="18"/>
                <w:szCs w:val="18"/>
                <w:lang w:val="ro-RO"/>
              </w:rPr>
              <w:t>să</w:t>
            </w:r>
            <w:r w:rsidR="00487414" w:rsidRPr="006258E5">
              <w:rPr>
                <w:sz w:val="18"/>
                <w:szCs w:val="18"/>
                <w:lang w:val="ro-RO"/>
              </w:rPr>
              <w:t xml:space="preserve"> investească </w:t>
            </w:r>
            <w:r w:rsidRPr="006258E5">
              <w:rPr>
                <w:sz w:val="18"/>
                <w:szCs w:val="18"/>
                <w:lang w:val="ro-RO"/>
              </w:rPr>
              <w:t>în</w:t>
            </w:r>
            <w:r w:rsidR="00487414" w:rsidRPr="006258E5">
              <w:rPr>
                <w:sz w:val="18"/>
                <w:szCs w:val="18"/>
                <w:lang w:val="ro-RO"/>
              </w:rPr>
              <w:t xml:space="preserve"> prelungirea duratei de viată a zăcămintelor existente este propus un set de amendamente la cadrul legislativ specific proiectelor offshore, care are ca obiective:</w:t>
            </w:r>
          </w:p>
          <w:p w14:paraId="4064630E" w14:textId="4713CE3D" w:rsidR="00487414" w:rsidRPr="006258E5" w:rsidRDefault="00487414" w:rsidP="00487414">
            <w:pPr>
              <w:numPr>
                <w:ilvl w:val="0"/>
                <w:numId w:val="11"/>
              </w:numPr>
              <w:spacing w:before="120" w:after="120" w:line="276" w:lineRule="auto"/>
              <w:jc w:val="both"/>
              <w:rPr>
                <w:sz w:val="18"/>
                <w:szCs w:val="18"/>
                <w:lang w:val="ro-RO"/>
              </w:rPr>
            </w:pPr>
            <w:r w:rsidRPr="006258E5">
              <w:rPr>
                <w:sz w:val="18"/>
                <w:szCs w:val="18"/>
                <w:lang w:val="ro-RO"/>
              </w:rPr>
              <w:t>Stabilitatea fiscal</w:t>
            </w:r>
            <w:r w:rsidR="005920C3" w:rsidRPr="006258E5">
              <w:rPr>
                <w:sz w:val="18"/>
                <w:szCs w:val="18"/>
                <w:lang w:val="ro-RO"/>
              </w:rPr>
              <w:t>ă</w:t>
            </w:r>
            <w:r w:rsidR="004352C4" w:rsidRPr="006258E5">
              <w:rPr>
                <w:sz w:val="18"/>
                <w:szCs w:val="18"/>
                <w:lang w:val="ro-RO"/>
              </w:rPr>
              <w:t xml:space="preserve"> şi </w:t>
            </w:r>
            <w:r w:rsidRPr="006258E5">
              <w:rPr>
                <w:sz w:val="18"/>
                <w:szCs w:val="18"/>
                <w:lang w:val="ro-RO"/>
              </w:rPr>
              <w:t>a principiilor de pia</w:t>
            </w:r>
            <w:r w:rsidR="005920C3" w:rsidRPr="006258E5">
              <w:rPr>
                <w:sz w:val="18"/>
                <w:szCs w:val="18"/>
                <w:lang w:val="ro-RO"/>
              </w:rPr>
              <w:t>ţă</w:t>
            </w:r>
            <w:r w:rsidRPr="006258E5">
              <w:rPr>
                <w:sz w:val="18"/>
                <w:szCs w:val="18"/>
                <w:lang w:val="ro-RO"/>
              </w:rPr>
              <w:t xml:space="preserve"> libe</w:t>
            </w:r>
            <w:r w:rsidR="005920C3" w:rsidRPr="006258E5">
              <w:rPr>
                <w:sz w:val="18"/>
                <w:szCs w:val="18"/>
                <w:lang w:val="ro-RO"/>
              </w:rPr>
              <w:t>ră</w:t>
            </w:r>
            <w:r w:rsidRPr="006258E5">
              <w:rPr>
                <w:sz w:val="18"/>
                <w:szCs w:val="18"/>
                <w:lang w:val="ro-RO"/>
              </w:rPr>
              <w:t xml:space="preserve"> </w:t>
            </w:r>
          </w:p>
          <w:p w14:paraId="6638E401" w14:textId="77777777" w:rsidR="00487414" w:rsidRPr="006258E5" w:rsidRDefault="00487414" w:rsidP="00487414">
            <w:pPr>
              <w:numPr>
                <w:ilvl w:val="0"/>
                <w:numId w:val="11"/>
              </w:numPr>
              <w:spacing w:before="120" w:after="120" w:line="276" w:lineRule="auto"/>
              <w:jc w:val="both"/>
              <w:rPr>
                <w:sz w:val="18"/>
                <w:szCs w:val="18"/>
                <w:lang w:val="ro-RO"/>
              </w:rPr>
            </w:pPr>
            <w:r w:rsidRPr="006258E5">
              <w:rPr>
                <w:sz w:val="18"/>
                <w:szCs w:val="18"/>
                <w:lang w:val="ro-RO"/>
              </w:rPr>
              <w:t>Sistem fiscal competitiv</w:t>
            </w:r>
          </w:p>
          <w:p w14:paraId="2F8FE4FD" w14:textId="77777777" w:rsidR="00487414" w:rsidRPr="006258E5" w:rsidRDefault="00487414" w:rsidP="00487414">
            <w:pPr>
              <w:spacing w:before="120" w:after="120"/>
              <w:jc w:val="both"/>
              <w:rPr>
                <w:sz w:val="18"/>
                <w:szCs w:val="18"/>
                <w:lang w:val="ro-RO"/>
              </w:rPr>
            </w:pPr>
          </w:p>
          <w:p w14:paraId="3E508398" w14:textId="530E2A5B" w:rsidR="00487414" w:rsidRPr="006258E5" w:rsidRDefault="00487414" w:rsidP="001730A2">
            <w:pPr>
              <w:pStyle w:val="ListParagraph"/>
              <w:numPr>
                <w:ilvl w:val="0"/>
                <w:numId w:val="15"/>
              </w:numPr>
              <w:spacing w:before="120" w:after="120"/>
              <w:ind w:left="489"/>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Stabilitatea fiscal</w:t>
            </w:r>
            <w:r w:rsidR="005920C3" w:rsidRPr="006258E5">
              <w:rPr>
                <w:rFonts w:ascii="Times New Roman" w:hAnsi="Times New Roman" w:cs="Times New Roman"/>
                <w:sz w:val="18"/>
                <w:szCs w:val="18"/>
                <w:lang w:val="ro-RO"/>
              </w:rPr>
              <w:t>ă</w:t>
            </w:r>
            <w:r w:rsidRPr="006258E5">
              <w:rPr>
                <w:rFonts w:ascii="Times New Roman" w:hAnsi="Times New Roman" w:cs="Times New Roman"/>
                <w:sz w:val="18"/>
                <w:szCs w:val="18"/>
                <w:lang w:val="ro-RO"/>
              </w:rPr>
              <w:t xml:space="preserve"> este un principiu fundamental </w:t>
            </w:r>
            <w:r w:rsidR="004352C4" w:rsidRPr="006258E5">
              <w:rPr>
                <w:rFonts w:ascii="Times New Roman" w:hAnsi="Times New Roman" w:cs="Times New Roman"/>
                <w:sz w:val="18"/>
                <w:szCs w:val="18"/>
                <w:lang w:val="ro-RO"/>
              </w:rPr>
              <w:t xml:space="preserve">în </w:t>
            </w:r>
            <w:r w:rsidRPr="006258E5">
              <w:rPr>
                <w:rFonts w:ascii="Times New Roman" w:hAnsi="Times New Roman" w:cs="Times New Roman"/>
                <w:sz w:val="18"/>
                <w:szCs w:val="18"/>
                <w:lang w:val="ro-RO"/>
              </w:rPr>
              <w:t xml:space="preserve">baza căruia investitorii iau deciziile de investiții ținând cont de costurile semnificative ale investițiilor offshore, durata îndelungată a realizării proiectelor și riscurile specifice ridicate ale investițiilor offshore detaliate mai sus. </w:t>
            </w:r>
            <w:r w:rsidR="004352C4" w:rsidRPr="006258E5">
              <w:rPr>
                <w:rFonts w:ascii="Times New Roman" w:hAnsi="Times New Roman" w:cs="Times New Roman"/>
                <w:sz w:val="18"/>
                <w:szCs w:val="18"/>
                <w:lang w:val="ro-RO"/>
              </w:rPr>
              <w:t>În</w:t>
            </w:r>
            <w:r w:rsidRPr="006258E5">
              <w:rPr>
                <w:rFonts w:ascii="Times New Roman" w:hAnsi="Times New Roman" w:cs="Times New Roman"/>
                <w:sz w:val="18"/>
                <w:szCs w:val="18"/>
                <w:lang w:val="ro-RO"/>
              </w:rPr>
              <w:t xml:space="preserve"> acest sens, se impune clarificarea și completarea prevederilor privind stabilitatea regimului fiscal și de redevențe petroliere incluse în Legea Offshore.</w:t>
            </w:r>
          </w:p>
          <w:p w14:paraId="31D53536" w14:textId="18C67C13" w:rsidR="00487414" w:rsidRPr="006258E5" w:rsidRDefault="00487414" w:rsidP="001730A2">
            <w:pPr>
              <w:spacing w:before="120" w:after="120"/>
              <w:ind w:left="489"/>
              <w:jc w:val="both"/>
              <w:rPr>
                <w:sz w:val="18"/>
                <w:szCs w:val="18"/>
                <w:lang w:val="ro-RO"/>
              </w:rPr>
            </w:pPr>
            <w:r w:rsidRPr="006258E5">
              <w:rPr>
                <w:sz w:val="18"/>
                <w:szCs w:val="18"/>
                <w:lang w:val="ro-RO"/>
              </w:rPr>
              <w:t>Stabilitatea principiului de piaț</w:t>
            </w:r>
            <w:r w:rsidR="005920C3" w:rsidRPr="006258E5">
              <w:rPr>
                <w:sz w:val="18"/>
                <w:szCs w:val="18"/>
                <w:lang w:val="ro-RO"/>
              </w:rPr>
              <w:t>ă</w:t>
            </w:r>
            <w:r w:rsidRPr="006258E5">
              <w:rPr>
                <w:sz w:val="18"/>
                <w:szCs w:val="18"/>
                <w:lang w:val="ro-RO"/>
              </w:rPr>
              <w:t xml:space="preserve"> liber</w:t>
            </w:r>
            <w:r w:rsidR="005920C3" w:rsidRPr="006258E5">
              <w:rPr>
                <w:sz w:val="18"/>
                <w:szCs w:val="18"/>
                <w:lang w:val="ro-RO"/>
              </w:rPr>
              <w:t>ă</w:t>
            </w:r>
            <w:r w:rsidRPr="006258E5">
              <w:rPr>
                <w:sz w:val="18"/>
                <w:szCs w:val="18"/>
                <w:lang w:val="ro-RO"/>
              </w:rPr>
              <w:t xml:space="preserve"> este esențială pentru investitori</w:t>
            </w:r>
            <w:r w:rsidR="005920C3" w:rsidRPr="006258E5">
              <w:rPr>
                <w:sz w:val="18"/>
                <w:szCs w:val="18"/>
                <w:lang w:val="ro-RO"/>
              </w:rPr>
              <w:t>,</w:t>
            </w:r>
            <w:r w:rsidRPr="006258E5">
              <w:rPr>
                <w:sz w:val="18"/>
                <w:szCs w:val="18"/>
                <w:lang w:val="ro-RO"/>
              </w:rPr>
              <w:t xml:space="preserve"> având </w:t>
            </w:r>
            <w:r w:rsidR="004352C4" w:rsidRPr="006258E5">
              <w:rPr>
                <w:sz w:val="18"/>
                <w:szCs w:val="18"/>
                <w:lang w:val="ro-RO"/>
              </w:rPr>
              <w:t xml:space="preserve">în </w:t>
            </w:r>
            <w:r w:rsidRPr="006258E5">
              <w:rPr>
                <w:sz w:val="18"/>
                <w:szCs w:val="18"/>
                <w:lang w:val="ro-RO"/>
              </w:rPr>
              <w:t xml:space="preserve">vedere nivelul ridicat al investițiilor </w:t>
            </w:r>
            <w:r w:rsidR="004352C4" w:rsidRPr="006258E5">
              <w:rPr>
                <w:sz w:val="18"/>
                <w:szCs w:val="18"/>
                <w:lang w:val="ro-RO"/>
              </w:rPr>
              <w:t xml:space="preserve">în </w:t>
            </w:r>
            <w:r w:rsidRPr="006258E5">
              <w:rPr>
                <w:sz w:val="18"/>
                <w:szCs w:val="18"/>
                <w:lang w:val="ro-RO"/>
              </w:rPr>
              <w:t>acest segment.</w:t>
            </w:r>
          </w:p>
          <w:p w14:paraId="5B672E09" w14:textId="77777777" w:rsidR="00487414" w:rsidRPr="006258E5" w:rsidRDefault="00487414" w:rsidP="00487414">
            <w:pPr>
              <w:pStyle w:val="ListParagraph"/>
              <w:spacing w:before="120" w:after="120"/>
              <w:ind w:left="960"/>
              <w:jc w:val="both"/>
              <w:rPr>
                <w:rFonts w:ascii="Times New Roman" w:hAnsi="Times New Roman" w:cs="Times New Roman"/>
                <w:sz w:val="18"/>
                <w:szCs w:val="18"/>
                <w:lang w:val="ro-RO"/>
              </w:rPr>
            </w:pPr>
          </w:p>
          <w:p w14:paraId="205DEBCF" w14:textId="1AF41D23" w:rsidR="00487414" w:rsidRPr="006258E5" w:rsidRDefault="00487414" w:rsidP="001730A2">
            <w:pPr>
              <w:pStyle w:val="ListParagraph"/>
              <w:numPr>
                <w:ilvl w:val="0"/>
                <w:numId w:val="15"/>
              </w:numPr>
              <w:spacing w:before="120" w:after="120"/>
              <w:ind w:left="489" w:hanging="194"/>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Pentru a obține un sistem fiscal competitiv</w:t>
            </w:r>
            <w:r w:rsidR="004352C4" w:rsidRPr="006258E5">
              <w:rPr>
                <w:rFonts w:ascii="Times New Roman" w:hAnsi="Times New Roman" w:cs="Times New Roman"/>
                <w:sz w:val="18"/>
                <w:szCs w:val="18"/>
                <w:lang w:val="ro-RO"/>
              </w:rPr>
              <w:t xml:space="preserve"> şi </w:t>
            </w:r>
            <w:r w:rsidRPr="006258E5">
              <w:rPr>
                <w:rFonts w:ascii="Times New Roman" w:hAnsi="Times New Roman" w:cs="Times New Roman"/>
                <w:sz w:val="18"/>
                <w:szCs w:val="18"/>
                <w:lang w:val="ro-RO"/>
              </w:rPr>
              <w:t xml:space="preserve">a permite investitorilor un nivel normal al rentabilității, este necesară eliminarea impozitării suplimentare a veniturilor pentru preturile de vânzare la care investitorii nu realizează </w:t>
            </w:r>
            <w:r w:rsidRPr="006258E5">
              <w:rPr>
                <w:rFonts w:ascii="Times New Roman" w:hAnsi="Times New Roman" w:cs="Times New Roman"/>
                <w:sz w:val="18"/>
                <w:szCs w:val="18"/>
                <w:lang w:val="ro-RO"/>
              </w:rPr>
              <w:lastRenderedPageBreak/>
              <w:t>supraprofituri (intre 45,71 lei/MWh</w:t>
            </w:r>
            <w:r w:rsidR="004352C4" w:rsidRPr="006258E5">
              <w:rPr>
                <w:rFonts w:ascii="Times New Roman" w:hAnsi="Times New Roman" w:cs="Times New Roman"/>
                <w:sz w:val="18"/>
                <w:szCs w:val="18"/>
                <w:lang w:val="ro-RO"/>
              </w:rPr>
              <w:t xml:space="preserve"> şi </w:t>
            </w:r>
            <w:r w:rsidR="00901BBC" w:rsidRPr="006258E5">
              <w:rPr>
                <w:rFonts w:ascii="Times New Roman" w:hAnsi="Times New Roman" w:cs="Times New Roman"/>
                <w:color w:val="000000" w:themeColor="text1"/>
                <w:sz w:val="18"/>
                <w:szCs w:val="18"/>
                <w:lang w:val="ro-RO"/>
              </w:rPr>
              <w:t>85</w:t>
            </w:r>
            <w:r w:rsidRPr="006258E5">
              <w:rPr>
                <w:rFonts w:ascii="Times New Roman" w:hAnsi="Times New Roman" w:cs="Times New Roman"/>
                <w:color w:val="000000" w:themeColor="text1"/>
                <w:sz w:val="18"/>
                <w:szCs w:val="18"/>
                <w:lang w:val="ro-RO"/>
              </w:rPr>
              <w:t xml:space="preserve"> </w:t>
            </w:r>
            <w:r w:rsidRPr="006258E5">
              <w:rPr>
                <w:rFonts w:ascii="Times New Roman" w:hAnsi="Times New Roman" w:cs="Times New Roman"/>
                <w:sz w:val="18"/>
                <w:szCs w:val="18"/>
                <w:lang w:val="ro-RO"/>
              </w:rPr>
              <w:t xml:space="preserve">lei/MWh), cu menținerea grilei de impozitare </w:t>
            </w:r>
            <w:r w:rsidR="004352C4" w:rsidRPr="006258E5">
              <w:rPr>
                <w:rFonts w:ascii="Times New Roman" w:hAnsi="Times New Roman" w:cs="Times New Roman"/>
                <w:sz w:val="18"/>
                <w:szCs w:val="18"/>
                <w:lang w:val="ro-RO"/>
              </w:rPr>
              <w:t xml:space="preserve">în </w:t>
            </w:r>
            <w:r w:rsidRPr="006258E5">
              <w:rPr>
                <w:rFonts w:ascii="Times New Roman" w:hAnsi="Times New Roman" w:cs="Times New Roman"/>
                <w:sz w:val="18"/>
                <w:szCs w:val="18"/>
                <w:lang w:val="ro-RO"/>
              </w:rPr>
              <w:t xml:space="preserve">cazul veniturilor suplimentare obținute în urma practicării unor prețuri mai mari de </w:t>
            </w:r>
            <w:r w:rsidR="00901BBC" w:rsidRPr="006258E5">
              <w:rPr>
                <w:rFonts w:ascii="Times New Roman" w:hAnsi="Times New Roman" w:cs="Times New Roman"/>
                <w:color w:val="000000" w:themeColor="text1"/>
                <w:sz w:val="18"/>
                <w:szCs w:val="18"/>
                <w:lang w:val="ro-RO"/>
              </w:rPr>
              <w:t>85</w:t>
            </w:r>
            <w:r w:rsidRPr="006258E5">
              <w:rPr>
                <w:rFonts w:ascii="Times New Roman" w:hAnsi="Times New Roman" w:cs="Times New Roman"/>
                <w:color w:val="000000" w:themeColor="text1"/>
                <w:sz w:val="18"/>
                <w:szCs w:val="18"/>
                <w:lang w:val="ro-RO"/>
              </w:rPr>
              <w:t xml:space="preserve"> </w:t>
            </w:r>
            <w:r w:rsidRPr="006258E5">
              <w:rPr>
                <w:rFonts w:ascii="Times New Roman" w:hAnsi="Times New Roman" w:cs="Times New Roman"/>
                <w:sz w:val="18"/>
                <w:szCs w:val="18"/>
                <w:lang w:val="ro-RO"/>
              </w:rPr>
              <w:t xml:space="preserve">lei/MWh.  </w:t>
            </w:r>
          </w:p>
          <w:p w14:paraId="4E2C2430" w14:textId="5F3B7120" w:rsidR="00487414" w:rsidRPr="006258E5" w:rsidRDefault="00487414" w:rsidP="001730A2">
            <w:pPr>
              <w:spacing w:before="120" w:after="120"/>
              <w:ind w:left="489" w:firstLine="231"/>
              <w:jc w:val="both"/>
              <w:rPr>
                <w:sz w:val="18"/>
                <w:szCs w:val="18"/>
                <w:lang w:val="ro-RO"/>
              </w:rPr>
            </w:pPr>
            <w:r w:rsidRPr="006258E5">
              <w:rPr>
                <w:sz w:val="18"/>
                <w:szCs w:val="18"/>
                <w:lang w:val="ro-RO"/>
              </w:rPr>
              <w:t>Impozitul pe veniturile suplimentare</w:t>
            </w:r>
            <w:r w:rsidR="004352C4" w:rsidRPr="006258E5">
              <w:rPr>
                <w:sz w:val="18"/>
                <w:szCs w:val="18"/>
                <w:lang w:val="ro-RO"/>
              </w:rPr>
              <w:t xml:space="preserve"> şi </w:t>
            </w:r>
            <w:r w:rsidRPr="006258E5">
              <w:rPr>
                <w:sz w:val="18"/>
                <w:szCs w:val="18"/>
                <w:lang w:val="ro-RO"/>
              </w:rPr>
              <w:t xml:space="preserve">impozitul pe profit și sunt două impozite diferite și de aceea este </w:t>
            </w:r>
            <w:r w:rsidR="005920C3" w:rsidRPr="006258E5">
              <w:rPr>
                <w:sz w:val="18"/>
                <w:szCs w:val="18"/>
                <w:lang w:val="ro-RO"/>
              </w:rPr>
              <w:t>necesară</w:t>
            </w:r>
            <w:r w:rsidRPr="006258E5">
              <w:rPr>
                <w:sz w:val="18"/>
                <w:szCs w:val="18"/>
                <w:lang w:val="ro-RO"/>
              </w:rPr>
              <w:t xml:space="preserve"> o baz</w:t>
            </w:r>
            <w:r w:rsidR="005920C3" w:rsidRPr="006258E5">
              <w:rPr>
                <w:sz w:val="18"/>
                <w:szCs w:val="18"/>
                <w:lang w:val="ro-RO"/>
              </w:rPr>
              <w:t>ă</w:t>
            </w:r>
            <w:r w:rsidRPr="006258E5">
              <w:rPr>
                <w:sz w:val="18"/>
                <w:szCs w:val="18"/>
                <w:lang w:val="ro-RO"/>
              </w:rPr>
              <w:t xml:space="preserve"> impozabilă corespunzătoare, determinată în mod adecvat. Cele dou</w:t>
            </w:r>
            <w:r w:rsidR="005920C3" w:rsidRPr="006258E5">
              <w:rPr>
                <w:sz w:val="18"/>
                <w:szCs w:val="18"/>
                <w:lang w:val="ro-RO"/>
              </w:rPr>
              <w:t>ă</w:t>
            </w:r>
            <w:r w:rsidRPr="006258E5">
              <w:rPr>
                <w:sz w:val="18"/>
                <w:szCs w:val="18"/>
                <w:lang w:val="ro-RO"/>
              </w:rPr>
              <w:t xml:space="preserve"> impozite au reguli diferite de determinare, așadar, potrivit practicii internaționale relevante, nu se justifică </w:t>
            </w:r>
            <w:r w:rsidR="00161C1A" w:rsidRPr="006258E5">
              <w:rPr>
                <w:sz w:val="18"/>
                <w:szCs w:val="18"/>
                <w:lang w:val="ro-RO"/>
              </w:rPr>
              <w:t>limi</w:t>
            </w:r>
            <w:r w:rsidRPr="006258E5">
              <w:rPr>
                <w:sz w:val="18"/>
                <w:szCs w:val="18"/>
                <w:lang w:val="ro-RO"/>
              </w:rPr>
              <w:t xml:space="preserve">tarea unui drept de deducere stabilit prin reguli general aplicabile impozitului pe profit, prin deducerea aplicabilă pentru impozitul pe veniturile suplimentare , </w:t>
            </w:r>
          </w:p>
          <w:p w14:paraId="0E7523ED" w14:textId="066FD41C" w:rsidR="00487414" w:rsidRPr="006258E5" w:rsidRDefault="00487414" w:rsidP="001730A2">
            <w:pPr>
              <w:spacing w:before="120" w:after="120"/>
              <w:ind w:left="489" w:firstLine="231"/>
              <w:jc w:val="both"/>
              <w:rPr>
                <w:sz w:val="18"/>
                <w:szCs w:val="18"/>
                <w:lang w:val="ro-RO"/>
              </w:rPr>
            </w:pPr>
            <w:r w:rsidRPr="006258E5">
              <w:rPr>
                <w:sz w:val="18"/>
                <w:szCs w:val="18"/>
                <w:lang w:val="ro-RO"/>
              </w:rPr>
              <w:t xml:space="preserve">De asemenea, se propune creșterea de </w:t>
            </w:r>
            <w:r w:rsidR="008B392E" w:rsidRPr="006258E5">
              <w:rPr>
                <w:sz w:val="18"/>
                <w:szCs w:val="18"/>
                <w:lang w:val="ro-RO"/>
              </w:rPr>
              <w:t>la</w:t>
            </w:r>
            <w:r w:rsidRPr="006258E5">
              <w:rPr>
                <w:sz w:val="18"/>
                <w:szCs w:val="18"/>
                <w:lang w:val="ro-RO"/>
              </w:rPr>
              <w:t xml:space="preserve"> 30% la 40% a nivelului maxim pentru deducerea investițiilor din segmentul upstream pentru determinarea impozitului suplimentar</w:t>
            </w:r>
            <w:r w:rsidR="004B12D4" w:rsidRPr="006258E5">
              <w:rPr>
                <w:sz w:val="18"/>
                <w:szCs w:val="18"/>
                <w:lang w:val="ro-RO"/>
              </w:rPr>
              <w:t xml:space="preserve">, pentru a încuraja investițiile </w:t>
            </w:r>
            <w:r w:rsidR="00A35FC5" w:rsidRPr="006258E5">
              <w:rPr>
                <w:sz w:val="18"/>
                <w:szCs w:val="18"/>
                <w:lang w:val="ro-RO"/>
              </w:rPr>
              <w:t>în acest sector</w:t>
            </w:r>
            <w:r w:rsidRPr="006258E5">
              <w:rPr>
                <w:sz w:val="18"/>
                <w:szCs w:val="18"/>
                <w:lang w:val="ro-RO"/>
              </w:rPr>
              <w:t>.</w:t>
            </w:r>
          </w:p>
          <w:p w14:paraId="3EEFF072" w14:textId="0B28F6D7" w:rsidR="00487414" w:rsidRPr="006258E5" w:rsidRDefault="004352C4" w:rsidP="001730A2">
            <w:pPr>
              <w:spacing w:before="120" w:after="120"/>
              <w:ind w:left="489" w:firstLine="720"/>
              <w:jc w:val="both"/>
              <w:rPr>
                <w:sz w:val="18"/>
                <w:szCs w:val="18"/>
                <w:lang w:val="ro-RO"/>
              </w:rPr>
            </w:pPr>
            <w:r w:rsidRPr="006258E5">
              <w:rPr>
                <w:sz w:val="18"/>
                <w:szCs w:val="18"/>
                <w:lang w:val="ro-RO"/>
              </w:rPr>
              <w:t>În</w:t>
            </w:r>
            <w:r w:rsidR="00487414" w:rsidRPr="006258E5">
              <w:rPr>
                <w:sz w:val="18"/>
                <w:szCs w:val="18"/>
                <w:lang w:val="ro-RO"/>
              </w:rPr>
              <w:t xml:space="preserve"> plus, se propune eliminarea limitării deducerii investițiilor pentru calculul impozitului pe profit</w:t>
            </w:r>
            <w:r w:rsidR="008B392E" w:rsidRPr="006258E5">
              <w:rPr>
                <w:sz w:val="18"/>
                <w:szCs w:val="18"/>
                <w:lang w:val="ro-RO"/>
              </w:rPr>
              <w:t>,</w:t>
            </w:r>
            <w:r w:rsidR="00487414" w:rsidRPr="006258E5">
              <w:rPr>
                <w:sz w:val="18"/>
                <w:szCs w:val="18"/>
                <w:lang w:val="ro-RO"/>
              </w:rPr>
              <w:t xml:space="preserve"> pentru </w:t>
            </w:r>
            <w:r w:rsidR="00BA30A2" w:rsidRPr="006258E5">
              <w:rPr>
                <w:sz w:val="18"/>
                <w:szCs w:val="18"/>
                <w:lang w:val="ro-RO"/>
              </w:rPr>
              <w:t xml:space="preserve">a </w:t>
            </w:r>
            <w:r w:rsidR="00487414" w:rsidRPr="006258E5">
              <w:rPr>
                <w:sz w:val="18"/>
                <w:szCs w:val="18"/>
                <w:lang w:val="ro-RO"/>
              </w:rPr>
              <w:t>asigura</w:t>
            </w:r>
            <w:r w:rsidR="00BA30A2" w:rsidRPr="006258E5">
              <w:rPr>
                <w:sz w:val="18"/>
                <w:szCs w:val="18"/>
                <w:lang w:val="ro-RO"/>
              </w:rPr>
              <w:t xml:space="preserve"> respecta</w:t>
            </w:r>
            <w:r w:rsidR="00487414" w:rsidRPr="006258E5">
              <w:rPr>
                <w:sz w:val="18"/>
                <w:szCs w:val="18"/>
                <w:lang w:val="ro-RO"/>
              </w:rPr>
              <w:t xml:space="preserve">rea principiului Codului Fiscal care prevede ca toate sectoarele de activitate </w:t>
            </w:r>
            <w:r w:rsidR="005920C3" w:rsidRPr="006258E5">
              <w:rPr>
                <w:sz w:val="18"/>
                <w:szCs w:val="18"/>
                <w:lang w:val="ro-RO"/>
              </w:rPr>
              <w:t>să</w:t>
            </w:r>
            <w:r w:rsidR="00487414" w:rsidRPr="006258E5">
              <w:rPr>
                <w:sz w:val="18"/>
                <w:szCs w:val="18"/>
                <w:lang w:val="ro-RO"/>
              </w:rPr>
              <w:t xml:space="preserve"> fie tratate uniform. </w:t>
            </w:r>
            <w:r w:rsidRPr="006258E5">
              <w:rPr>
                <w:sz w:val="18"/>
                <w:szCs w:val="18"/>
                <w:lang w:val="ro-RO"/>
              </w:rPr>
              <w:t xml:space="preserve">În </w:t>
            </w:r>
            <w:r w:rsidR="00487414" w:rsidRPr="006258E5">
              <w:rPr>
                <w:sz w:val="18"/>
                <w:szCs w:val="18"/>
                <w:lang w:val="ro-RO"/>
              </w:rPr>
              <w:t>prezent, aceast</w:t>
            </w:r>
            <w:r w:rsidR="008B392E" w:rsidRPr="006258E5">
              <w:rPr>
                <w:sz w:val="18"/>
                <w:szCs w:val="18"/>
                <w:lang w:val="ro-RO"/>
              </w:rPr>
              <w:t>ă</w:t>
            </w:r>
            <w:r w:rsidR="00487414" w:rsidRPr="006258E5">
              <w:rPr>
                <w:sz w:val="18"/>
                <w:szCs w:val="18"/>
                <w:lang w:val="ro-RO"/>
              </w:rPr>
              <w:t xml:space="preserve"> limitare împiedică operatorii offshore </w:t>
            </w:r>
            <w:r w:rsidR="005920C3" w:rsidRPr="006258E5">
              <w:rPr>
                <w:sz w:val="18"/>
                <w:szCs w:val="18"/>
                <w:lang w:val="ro-RO"/>
              </w:rPr>
              <w:t>să</w:t>
            </w:r>
            <w:r w:rsidR="00487414" w:rsidRPr="006258E5">
              <w:rPr>
                <w:sz w:val="18"/>
                <w:szCs w:val="18"/>
                <w:lang w:val="ro-RO"/>
              </w:rPr>
              <w:t xml:space="preserve"> deducă amortizarea tuturor investițiilor efectuate, datorând impozit pe profit la o bază impozabilă artificial mărită</w:t>
            </w:r>
            <w:r w:rsidR="008B392E" w:rsidRPr="006258E5">
              <w:rPr>
                <w:sz w:val="18"/>
                <w:szCs w:val="18"/>
                <w:lang w:val="ro-RO"/>
              </w:rPr>
              <w:t>,</w:t>
            </w:r>
            <w:r w:rsidR="00487414" w:rsidRPr="006258E5">
              <w:rPr>
                <w:sz w:val="18"/>
                <w:szCs w:val="18"/>
                <w:lang w:val="ro-RO"/>
              </w:rPr>
              <w:t xml:space="preserve"> fiind astfel discriminați comparativ cu restul agenților economici.  </w:t>
            </w:r>
          </w:p>
          <w:p w14:paraId="3D924037" w14:textId="612B190B" w:rsidR="00904F54" w:rsidRPr="006258E5" w:rsidRDefault="00904F54" w:rsidP="001730A2">
            <w:pPr>
              <w:spacing w:before="120" w:after="120"/>
              <w:ind w:left="489" w:firstLine="720"/>
              <w:jc w:val="both"/>
              <w:rPr>
                <w:sz w:val="18"/>
                <w:szCs w:val="18"/>
                <w:lang w:val="ro-RO"/>
              </w:rPr>
            </w:pPr>
            <w:r w:rsidRPr="006258E5">
              <w:rPr>
                <w:sz w:val="18"/>
                <w:szCs w:val="18"/>
                <w:lang w:val="ro-RO"/>
              </w:rPr>
              <w:t>Totodată de reglementează regimul fiscal pentru perimetrele onshore de adâncime mai mari de 3000m</w:t>
            </w:r>
          </w:p>
          <w:p w14:paraId="15E82BD8" w14:textId="728E3FB1" w:rsidR="00487414" w:rsidRPr="006258E5" w:rsidRDefault="00487414" w:rsidP="001730A2">
            <w:pPr>
              <w:spacing w:before="120" w:after="120"/>
              <w:ind w:left="348" w:firstLine="372"/>
              <w:jc w:val="both"/>
              <w:rPr>
                <w:sz w:val="18"/>
                <w:szCs w:val="18"/>
                <w:lang w:val="ro-RO"/>
              </w:rPr>
            </w:pPr>
            <w:r w:rsidRPr="006258E5">
              <w:rPr>
                <w:sz w:val="18"/>
                <w:szCs w:val="18"/>
                <w:lang w:val="ro-RO"/>
              </w:rPr>
              <w:t xml:space="preserve">Se propune eliminarea utilizării prețului de referință în determinarea bazei de calcul a impozitului asupra veniturilor suplimentare. </w:t>
            </w:r>
            <w:r w:rsidR="004352C4" w:rsidRPr="006258E5">
              <w:rPr>
                <w:sz w:val="18"/>
                <w:szCs w:val="18"/>
                <w:lang w:val="ro-RO"/>
              </w:rPr>
              <w:t>În</w:t>
            </w:r>
            <w:r w:rsidRPr="006258E5">
              <w:rPr>
                <w:sz w:val="18"/>
                <w:szCs w:val="18"/>
                <w:lang w:val="ro-RO"/>
              </w:rPr>
              <w:t xml:space="preserve"> acest fel, sunt respectate principiile fiscalității prevăzute de Codul Fiscal</w:t>
            </w:r>
            <w:r w:rsidR="004352C4" w:rsidRPr="006258E5">
              <w:rPr>
                <w:sz w:val="18"/>
                <w:szCs w:val="18"/>
                <w:lang w:val="ro-RO"/>
              </w:rPr>
              <w:t xml:space="preserve"> şi </w:t>
            </w:r>
            <w:r w:rsidR="005920C3" w:rsidRPr="006258E5">
              <w:rPr>
                <w:sz w:val="18"/>
                <w:szCs w:val="18"/>
                <w:lang w:val="ro-RO"/>
              </w:rPr>
              <w:t>România</w:t>
            </w:r>
            <w:r w:rsidRPr="006258E5">
              <w:rPr>
                <w:sz w:val="18"/>
                <w:szCs w:val="18"/>
                <w:lang w:val="ro-RO"/>
              </w:rPr>
              <w:t xml:space="preserve"> se va alinia cu practica internațională referitoare la determinarea impozitelor upstream pe baza prețurilor realizate. </w:t>
            </w:r>
          </w:p>
          <w:p w14:paraId="06E6BC90" w14:textId="489421FB" w:rsidR="00487414" w:rsidRPr="006258E5" w:rsidRDefault="00487414" w:rsidP="001730A2">
            <w:pPr>
              <w:spacing w:before="120" w:after="120"/>
              <w:ind w:left="64" w:firstLine="284"/>
              <w:jc w:val="both"/>
              <w:rPr>
                <w:bCs/>
                <w:sz w:val="18"/>
                <w:szCs w:val="18"/>
                <w:lang w:val="ro-RO"/>
              </w:rPr>
            </w:pPr>
            <w:r w:rsidRPr="006258E5">
              <w:rPr>
                <w:bCs/>
                <w:sz w:val="18"/>
                <w:szCs w:val="18"/>
                <w:lang w:val="ro-RO"/>
              </w:rPr>
              <w:t>Modificările propuse reflect</w:t>
            </w:r>
            <w:r w:rsidR="008B392E" w:rsidRPr="006258E5">
              <w:rPr>
                <w:bCs/>
                <w:sz w:val="18"/>
                <w:szCs w:val="18"/>
                <w:lang w:val="ro-RO"/>
              </w:rPr>
              <w:t>ă</w:t>
            </w:r>
            <w:r w:rsidRPr="006258E5">
              <w:rPr>
                <w:bCs/>
                <w:sz w:val="18"/>
                <w:szCs w:val="18"/>
                <w:lang w:val="ro-RO"/>
              </w:rPr>
              <w:t xml:space="preserve"> practica internațional</w:t>
            </w:r>
            <w:r w:rsidR="008B392E" w:rsidRPr="006258E5">
              <w:rPr>
                <w:bCs/>
                <w:sz w:val="18"/>
                <w:szCs w:val="18"/>
                <w:lang w:val="ro-RO"/>
              </w:rPr>
              <w:t>ă</w:t>
            </w:r>
            <w:r w:rsidRPr="006258E5">
              <w:rPr>
                <w:bCs/>
                <w:sz w:val="18"/>
                <w:szCs w:val="18"/>
                <w:lang w:val="ro-RO"/>
              </w:rPr>
              <w:t xml:space="preserve"> </w:t>
            </w:r>
            <w:r w:rsidR="004352C4" w:rsidRPr="006258E5">
              <w:rPr>
                <w:bCs/>
                <w:sz w:val="18"/>
                <w:szCs w:val="18"/>
                <w:lang w:val="ro-RO"/>
              </w:rPr>
              <w:t xml:space="preserve">în </w:t>
            </w:r>
            <w:r w:rsidRPr="006258E5">
              <w:rPr>
                <w:bCs/>
                <w:sz w:val="18"/>
                <w:szCs w:val="18"/>
                <w:lang w:val="ro-RO"/>
              </w:rPr>
              <w:t>industria de petrol</w:t>
            </w:r>
            <w:r w:rsidR="004352C4" w:rsidRPr="006258E5">
              <w:rPr>
                <w:bCs/>
                <w:sz w:val="18"/>
                <w:szCs w:val="18"/>
                <w:lang w:val="ro-RO"/>
              </w:rPr>
              <w:t xml:space="preserve"> şi </w:t>
            </w:r>
            <w:r w:rsidRPr="006258E5">
              <w:rPr>
                <w:bCs/>
                <w:sz w:val="18"/>
                <w:szCs w:val="18"/>
                <w:lang w:val="ro-RO"/>
              </w:rPr>
              <w:t>gaze.</w:t>
            </w:r>
          </w:p>
          <w:p w14:paraId="5956CFBB" w14:textId="77777777" w:rsidR="00EF51DB" w:rsidRPr="006258E5" w:rsidRDefault="00EF51DB" w:rsidP="00EF51DB">
            <w:pPr>
              <w:autoSpaceDE w:val="0"/>
              <w:autoSpaceDN w:val="0"/>
              <w:adjustRightInd w:val="0"/>
              <w:rPr>
                <w:bCs/>
                <w:sz w:val="18"/>
                <w:szCs w:val="18"/>
                <w:lang w:val="ro-RO"/>
              </w:rPr>
            </w:pPr>
          </w:p>
          <w:p w14:paraId="0358B3CC" w14:textId="77777777" w:rsidR="00F85F7B" w:rsidRPr="006258E5" w:rsidRDefault="00EF51DB" w:rsidP="00631394">
            <w:pPr>
              <w:pStyle w:val="Default"/>
              <w:ind w:left="350" w:firstLine="425"/>
              <w:jc w:val="both"/>
              <w:rPr>
                <w:bCs/>
                <w:color w:val="auto"/>
                <w:sz w:val="18"/>
                <w:szCs w:val="18"/>
                <w:lang w:val="ro-RO"/>
              </w:rPr>
            </w:pPr>
            <w:r w:rsidRPr="006258E5">
              <w:rPr>
                <w:bCs/>
                <w:sz w:val="18"/>
                <w:szCs w:val="18"/>
                <w:lang w:val="ro-RO"/>
              </w:rPr>
              <w:t>Conform unui studi</w:t>
            </w:r>
            <w:r w:rsidR="001730A2" w:rsidRPr="006258E5">
              <w:rPr>
                <w:bCs/>
                <w:sz w:val="18"/>
                <w:szCs w:val="18"/>
                <w:lang w:val="ro-RO"/>
              </w:rPr>
              <w:t>u</w:t>
            </w:r>
            <w:r w:rsidRPr="006258E5">
              <w:rPr>
                <w:bCs/>
                <w:sz w:val="18"/>
                <w:szCs w:val="18"/>
                <w:lang w:val="ro-RO"/>
              </w:rPr>
              <w:t xml:space="preserve"> realizat </w:t>
            </w:r>
            <w:r w:rsidR="00284784" w:rsidRPr="006258E5">
              <w:rPr>
                <w:bCs/>
                <w:sz w:val="18"/>
                <w:szCs w:val="18"/>
                <w:lang w:val="ro-RO"/>
              </w:rPr>
              <w:t xml:space="preserve">în luna iunie 2021 </w:t>
            </w:r>
            <w:r w:rsidRPr="006258E5">
              <w:rPr>
                <w:bCs/>
                <w:sz w:val="18"/>
                <w:szCs w:val="18"/>
                <w:lang w:val="ro-RO"/>
              </w:rPr>
              <w:t xml:space="preserve">de </w:t>
            </w:r>
            <w:r w:rsidR="00284784" w:rsidRPr="006258E5">
              <w:rPr>
                <w:bCs/>
                <w:sz w:val="18"/>
                <w:szCs w:val="18"/>
                <w:lang w:val="ro-RO"/>
              </w:rPr>
              <w:t>compania de consulta</w:t>
            </w:r>
            <w:r w:rsidR="009F4D21" w:rsidRPr="006258E5">
              <w:rPr>
                <w:bCs/>
                <w:sz w:val="18"/>
                <w:szCs w:val="18"/>
                <w:lang w:val="ro-RO"/>
              </w:rPr>
              <w:t>n</w:t>
            </w:r>
            <w:r w:rsidR="00284784" w:rsidRPr="006258E5">
              <w:rPr>
                <w:bCs/>
                <w:sz w:val="18"/>
                <w:szCs w:val="18"/>
                <w:lang w:val="ro-RO"/>
              </w:rPr>
              <w:t>tă PwC,</w:t>
            </w:r>
            <w:r w:rsidR="00F80836" w:rsidRPr="006258E5">
              <w:rPr>
                <w:bCs/>
                <w:sz w:val="18"/>
                <w:szCs w:val="18"/>
                <w:lang w:val="ro-RO"/>
              </w:rPr>
              <w:t xml:space="preserve"> ”Studiu comparativ privind impozitarea specifică a producției de gaze naturale offshore din Europa”,</w:t>
            </w:r>
            <w:r w:rsidR="00284784" w:rsidRPr="006258E5">
              <w:rPr>
                <w:bCs/>
                <w:sz w:val="18"/>
                <w:szCs w:val="18"/>
                <w:lang w:val="ro-RO"/>
              </w:rPr>
              <w:t xml:space="preserve"> î</w:t>
            </w:r>
            <w:r w:rsidRPr="006258E5">
              <w:rPr>
                <w:bCs/>
                <w:color w:val="auto"/>
                <w:sz w:val="18"/>
                <w:szCs w:val="18"/>
                <w:lang w:val="ro-RO"/>
              </w:rPr>
              <w:t xml:space="preserve">n anul 2020, România avea cea mai mare rată efectivă de impozitare a sectorului de gaze naturale offshore (23%) </w:t>
            </w:r>
            <w:r w:rsidR="003A4D9C" w:rsidRPr="006258E5">
              <w:rPr>
                <w:bCs/>
                <w:color w:val="auto"/>
                <w:sz w:val="18"/>
                <w:szCs w:val="18"/>
                <w:lang w:val="ro-RO"/>
              </w:rPr>
              <w:t>comparativ cu restul de</w:t>
            </w:r>
            <w:r w:rsidRPr="006258E5">
              <w:rPr>
                <w:bCs/>
                <w:color w:val="auto"/>
                <w:sz w:val="18"/>
                <w:szCs w:val="18"/>
                <w:lang w:val="ro-RO"/>
              </w:rPr>
              <w:t xml:space="preserve"> state europene relevante pentru producția offshore, de aproximativ 4,3 ori mai mare decât media acestora, estimată la 5,3%. </w:t>
            </w:r>
          </w:p>
          <w:p w14:paraId="2FE3BC60" w14:textId="03BD2566" w:rsidR="00487414" w:rsidRPr="006258E5" w:rsidRDefault="00EF51DB" w:rsidP="0059506A">
            <w:pPr>
              <w:pStyle w:val="Default"/>
              <w:ind w:left="350" w:firstLine="425"/>
              <w:jc w:val="both"/>
              <w:rPr>
                <w:color w:val="auto"/>
                <w:sz w:val="18"/>
                <w:szCs w:val="18"/>
                <w:lang w:val="ro-RO"/>
              </w:rPr>
            </w:pPr>
            <w:r w:rsidRPr="006258E5">
              <w:rPr>
                <w:bCs/>
                <w:color w:val="auto"/>
                <w:sz w:val="18"/>
                <w:szCs w:val="18"/>
                <w:lang w:val="ro-RO"/>
              </w:rPr>
              <w:t>Acest nivel ridicat de impozitare efectivă arată necesitatea modificării regimului fiscal, astfel încât acesta să devină atractiv investițiilor, cu atât mai mult în contextul tranziției energetice. Astfel, pentru restabilirea echilibrului şi a competitivității regimului fiscal este necesară modificarea Legii Offshore (Legea nr. 256/2018).</w:t>
            </w:r>
          </w:p>
        </w:tc>
      </w:tr>
      <w:tr w:rsidR="005B34CB" w:rsidRPr="006258E5" w14:paraId="4677683E" w14:textId="77777777" w:rsidTr="60891C03">
        <w:trPr>
          <w:trHeight w:val="332"/>
        </w:trPr>
        <w:tc>
          <w:tcPr>
            <w:tcW w:w="3351" w:type="dxa"/>
          </w:tcPr>
          <w:p w14:paraId="7CA6FC22" w14:textId="77777777" w:rsidR="005B34CB" w:rsidRPr="006258E5" w:rsidRDefault="005B34CB" w:rsidP="005B34CB">
            <w:pPr>
              <w:spacing w:line="340" w:lineRule="atLeast"/>
              <w:rPr>
                <w:sz w:val="18"/>
                <w:szCs w:val="18"/>
                <w:lang w:val="ro-RO"/>
              </w:rPr>
            </w:pPr>
            <w:r w:rsidRPr="006258E5">
              <w:rPr>
                <w:b/>
                <w:sz w:val="18"/>
                <w:szCs w:val="18"/>
                <w:lang w:val="ro-RO"/>
              </w:rPr>
              <w:lastRenderedPageBreak/>
              <w:t>3. Alte informaţii</w:t>
            </w:r>
            <w:r w:rsidRPr="006258E5">
              <w:rPr>
                <w:sz w:val="18"/>
                <w:szCs w:val="18"/>
                <w:lang w:val="ro-RO"/>
              </w:rPr>
              <w:t xml:space="preserve"> </w:t>
            </w:r>
          </w:p>
        </w:tc>
        <w:tc>
          <w:tcPr>
            <w:tcW w:w="6520" w:type="dxa"/>
            <w:gridSpan w:val="8"/>
          </w:tcPr>
          <w:p w14:paraId="2D23AE25" w14:textId="77777777" w:rsidR="005B34CB" w:rsidRPr="006258E5" w:rsidRDefault="005B34CB" w:rsidP="005B34CB">
            <w:pPr>
              <w:spacing w:before="120"/>
              <w:jc w:val="both"/>
              <w:rPr>
                <w:sz w:val="18"/>
                <w:szCs w:val="18"/>
                <w:lang w:val="ro-RO"/>
              </w:rPr>
            </w:pPr>
          </w:p>
          <w:p w14:paraId="4CDC9CC7" w14:textId="77777777" w:rsidR="005B34CB" w:rsidRPr="006258E5" w:rsidRDefault="005B34CB" w:rsidP="005B34CB">
            <w:pPr>
              <w:spacing w:before="120"/>
              <w:jc w:val="both"/>
              <w:rPr>
                <w:sz w:val="18"/>
                <w:szCs w:val="18"/>
                <w:lang w:val="ro-RO"/>
              </w:rPr>
            </w:pPr>
          </w:p>
        </w:tc>
      </w:tr>
      <w:tr w:rsidR="005B34CB" w:rsidRPr="006258E5" w14:paraId="7479DFDB" w14:textId="77777777" w:rsidTr="60891C03">
        <w:trPr>
          <w:trHeight w:val="678"/>
        </w:trPr>
        <w:tc>
          <w:tcPr>
            <w:tcW w:w="9871" w:type="dxa"/>
            <w:gridSpan w:val="9"/>
          </w:tcPr>
          <w:p w14:paraId="6DE6E637" w14:textId="77777777" w:rsidR="005B34CB" w:rsidRPr="006258E5" w:rsidRDefault="005B34CB" w:rsidP="005B34CB">
            <w:pPr>
              <w:spacing w:line="340" w:lineRule="atLeast"/>
              <w:jc w:val="center"/>
              <w:rPr>
                <w:b/>
                <w:sz w:val="18"/>
                <w:szCs w:val="18"/>
                <w:lang w:val="ro-RO"/>
              </w:rPr>
            </w:pPr>
            <w:r w:rsidRPr="006258E5">
              <w:rPr>
                <w:b/>
                <w:sz w:val="18"/>
                <w:szCs w:val="18"/>
                <w:lang w:val="ro-RO"/>
              </w:rPr>
              <w:t>Secţiunea a 3-a</w:t>
            </w:r>
          </w:p>
          <w:p w14:paraId="4E1AC810" w14:textId="77777777" w:rsidR="005B34CB" w:rsidRPr="006258E5" w:rsidRDefault="005B34CB" w:rsidP="005B34CB">
            <w:pPr>
              <w:spacing w:line="340" w:lineRule="atLeast"/>
              <w:jc w:val="center"/>
              <w:rPr>
                <w:b/>
                <w:sz w:val="18"/>
                <w:szCs w:val="18"/>
                <w:lang w:val="ro-RO"/>
              </w:rPr>
            </w:pPr>
            <w:r w:rsidRPr="006258E5">
              <w:rPr>
                <w:b/>
                <w:sz w:val="18"/>
                <w:szCs w:val="18"/>
                <w:lang w:val="ro-RO"/>
              </w:rPr>
              <w:t>Impactul socio-economic al proiectului de act normativ</w:t>
            </w:r>
          </w:p>
        </w:tc>
      </w:tr>
      <w:tr w:rsidR="005B34CB" w:rsidRPr="006258E5" w14:paraId="45336485" w14:textId="77777777" w:rsidTr="60891C03">
        <w:tc>
          <w:tcPr>
            <w:tcW w:w="3351" w:type="dxa"/>
          </w:tcPr>
          <w:p w14:paraId="028DD0CB" w14:textId="77777777" w:rsidR="005B34CB" w:rsidRPr="006258E5" w:rsidRDefault="005B34CB" w:rsidP="005B34CB">
            <w:pPr>
              <w:spacing w:line="340" w:lineRule="atLeast"/>
              <w:rPr>
                <w:sz w:val="18"/>
                <w:szCs w:val="18"/>
                <w:lang w:val="ro-RO"/>
              </w:rPr>
            </w:pPr>
            <w:r w:rsidRPr="006258E5">
              <w:rPr>
                <w:b/>
                <w:sz w:val="18"/>
                <w:szCs w:val="18"/>
                <w:lang w:val="ro-RO"/>
              </w:rPr>
              <w:t>1. Impactul macroeconomic</w:t>
            </w:r>
          </w:p>
        </w:tc>
        <w:tc>
          <w:tcPr>
            <w:tcW w:w="6520" w:type="dxa"/>
            <w:gridSpan w:val="8"/>
          </w:tcPr>
          <w:p w14:paraId="701CD18E" w14:textId="16FEB751" w:rsidR="005B34CB" w:rsidRPr="006258E5" w:rsidRDefault="005B34CB" w:rsidP="005B34CB">
            <w:pPr>
              <w:ind w:firstLine="720"/>
              <w:jc w:val="both"/>
              <w:rPr>
                <w:sz w:val="18"/>
                <w:szCs w:val="18"/>
                <w:lang w:val="ro-RO"/>
              </w:rPr>
            </w:pPr>
            <w:r w:rsidRPr="006258E5">
              <w:rPr>
                <w:sz w:val="18"/>
                <w:szCs w:val="18"/>
                <w:lang w:val="ro-RO"/>
              </w:rPr>
              <w:t xml:space="preserve">Impactul la nivel macroeconomic al proiectelor de exploatare a descoperirilor de gaze naturale, precum și continuarea operațiunilor de explorare și evaluarea a unor noi resurse de hidrocarburi în perimetrele offshore din Marea </w:t>
            </w:r>
            <w:r w:rsidR="005920C3" w:rsidRPr="006258E5">
              <w:rPr>
                <w:sz w:val="18"/>
                <w:szCs w:val="18"/>
                <w:lang w:val="ro-RO"/>
              </w:rPr>
              <w:t>Neagră</w:t>
            </w:r>
            <w:r w:rsidRPr="006258E5">
              <w:rPr>
                <w:sz w:val="18"/>
                <w:szCs w:val="18"/>
                <w:lang w:val="ro-RO"/>
              </w:rPr>
              <w:t xml:space="preserve">, include: </w:t>
            </w:r>
          </w:p>
          <w:p w14:paraId="1CA027FA" w14:textId="4A8E1F18" w:rsidR="005B34CB" w:rsidRPr="006258E5" w:rsidRDefault="008B392E"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Creșterea</w:t>
            </w:r>
            <w:r w:rsidR="005B34CB" w:rsidRPr="006258E5">
              <w:rPr>
                <w:rFonts w:ascii="Times New Roman" w:hAnsi="Times New Roman" w:cs="Times New Roman"/>
                <w:sz w:val="18"/>
                <w:szCs w:val="18"/>
                <w:lang w:val="ro-RO"/>
              </w:rPr>
              <w:t xml:space="preserve"> </w:t>
            </w:r>
            <w:r w:rsidRPr="006258E5">
              <w:rPr>
                <w:rFonts w:ascii="Times New Roman" w:hAnsi="Times New Roman" w:cs="Times New Roman"/>
                <w:sz w:val="18"/>
                <w:szCs w:val="18"/>
                <w:lang w:val="ro-RO"/>
              </w:rPr>
              <w:t>investițiilor</w:t>
            </w:r>
            <w:r w:rsidR="005B34CB" w:rsidRPr="006258E5">
              <w:rPr>
                <w:rFonts w:ascii="Times New Roman" w:hAnsi="Times New Roman" w:cs="Times New Roman"/>
                <w:sz w:val="18"/>
                <w:szCs w:val="18"/>
                <w:lang w:val="ro-RO"/>
              </w:rPr>
              <w:t xml:space="preserve"> de capital vor </w:t>
            </w:r>
            <w:r w:rsidRPr="006258E5">
              <w:rPr>
                <w:rFonts w:ascii="Times New Roman" w:hAnsi="Times New Roman" w:cs="Times New Roman"/>
                <w:sz w:val="18"/>
                <w:szCs w:val="18"/>
                <w:lang w:val="ro-RO"/>
              </w:rPr>
              <w:t>acționa</w:t>
            </w:r>
            <w:r w:rsidR="005B34CB" w:rsidRPr="006258E5">
              <w:rPr>
                <w:rFonts w:ascii="Times New Roman" w:hAnsi="Times New Roman" w:cs="Times New Roman"/>
                <w:sz w:val="18"/>
                <w:szCs w:val="18"/>
                <w:lang w:val="ro-RO"/>
              </w:rPr>
              <w:t xml:space="preserve"> ca un catalizator pentru </w:t>
            </w:r>
            <w:r w:rsidRPr="006258E5">
              <w:rPr>
                <w:rFonts w:ascii="Times New Roman" w:hAnsi="Times New Roman" w:cs="Times New Roman"/>
                <w:sz w:val="18"/>
                <w:szCs w:val="18"/>
                <w:lang w:val="ro-RO"/>
              </w:rPr>
              <w:t>creșterea</w:t>
            </w:r>
            <w:r w:rsidR="005B34CB" w:rsidRPr="006258E5">
              <w:rPr>
                <w:rFonts w:ascii="Times New Roman" w:hAnsi="Times New Roman" w:cs="Times New Roman"/>
                <w:sz w:val="18"/>
                <w:szCs w:val="18"/>
                <w:lang w:val="ro-RO"/>
              </w:rPr>
              <w:t xml:space="preserve"> economic</w:t>
            </w:r>
            <w:r w:rsidR="2C623E07" w:rsidRPr="006258E5">
              <w:rPr>
                <w:rFonts w:ascii="Times New Roman" w:hAnsi="Times New Roman" w:cs="Times New Roman"/>
                <w:sz w:val="18"/>
                <w:szCs w:val="18"/>
                <w:lang w:val="ro-RO"/>
              </w:rPr>
              <w:t>ă</w:t>
            </w:r>
            <w:r w:rsidR="005B34CB" w:rsidRPr="006258E5">
              <w:rPr>
                <w:rFonts w:ascii="Times New Roman" w:hAnsi="Times New Roman" w:cs="Times New Roman"/>
                <w:sz w:val="18"/>
                <w:szCs w:val="18"/>
                <w:lang w:val="ro-RO"/>
              </w:rPr>
              <w:t xml:space="preserve"> a </w:t>
            </w:r>
            <w:r w:rsidRPr="006258E5">
              <w:rPr>
                <w:rFonts w:ascii="Times New Roman" w:hAnsi="Times New Roman" w:cs="Times New Roman"/>
                <w:sz w:val="18"/>
                <w:szCs w:val="18"/>
                <w:lang w:val="ro-RO"/>
              </w:rPr>
              <w:t>României</w:t>
            </w:r>
            <w:r w:rsidR="005B34CB" w:rsidRPr="006258E5">
              <w:rPr>
                <w:rFonts w:ascii="Times New Roman" w:hAnsi="Times New Roman" w:cs="Times New Roman"/>
                <w:sz w:val="18"/>
                <w:szCs w:val="18"/>
                <w:lang w:val="ro-RO"/>
              </w:rPr>
              <w:t xml:space="preserve"> </w:t>
            </w:r>
          </w:p>
          <w:p w14:paraId="472A712B" w14:textId="77777777"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Creșterea veniturilor bugetare</w:t>
            </w:r>
          </w:p>
          <w:p w14:paraId="64B160EB" w14:textId="5003D5E3" w:rsidR="00407914" w:rsidRPr="006258E5" w:rsidRDefault="00407914"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Creare</w:t>
            </w:r>
            <w:r w:rsidR="005C7874" w:rsidRPr="006258E5">
              <w:rPr>
                <w:rFonts w:ascii="Times New Roman" w:hAnsi="Times New Roman" w:cs="Times New Roman"/>
                <w:sz w:val="18"/>
                <w:szCs w:val="18"/>
                <w:lang w:val="ro-RO"/>
              </w:rPr>
              <w:t>a sau menținerea</w:t>
            </w:r>
            <w:r w:rsidRPr="006258E5">
              <w:rPr>
                <w:rFonts w:ascii="Times New Roman" w:hAnsi="Times New Roman" w:cs="Times New Roman"/>
                <w:sz w:val="18"/>
                <w:szCs w:val="18"/>
                <w:lang w:val="ro-RO"/>
              </w:rPr>
              <w:t xml:space="preserve"> de locuri de muncă </w:t>
            </w:r>
          </w:p>
          <w:p w14:paraId="4244662C" w14:textId="37481DF0"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lastRenderedPageBreak/>
              <w:t>Creșterea contribuției la produsul intern brut</w:t>
            </w:r>
          </w:p>
          <w:p w14:paraId="551080DF" w14:textId="7AE26533"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 xml:space="preserve">Creșterea securității </w:t>
            </w:r>
            <w:r w:rsidR="004352C4" w:rsidRPr="006258E5">
              <w:rPr>
                <w:rFonts w:ascii="Times New Roman" w:hAnsi="Times New Roman" w:cs="Times New Roman"/>
                <w:bCs/>
                <w:sz w:val="18"/>
                <w:szCs w:val="18"/>
                <w:lang w:val="ro-RO"/>
              </w:rPr>
              <w:t xml:space="preserve">în </w:t>
            </w:r>
            <w:r w:rsidRPr="006258E5">
              <w:rPr>
                <w:rFonts w:ascii="Times New Roman" w:hAnsi="Times New Roman" w:cs="Times New Roman"/>
                <w:sz w:val="18"/>
                <w:szCs w:val="18"/>
                <w:lang w:val="ro-RO"/>
              </w:rPr>
              <w:t xml:space="preserve">aprovizionarea </w:t>
            </w:r>
            <w:r w:rsidRPr="006258E5">
              <w:rPr>
                <w:rFonts w:ascii="Times New Roman" w:hAnsi="Times New Roman" w:cs="Times New Roman"/>
                <w:bCs/>
                <w:sz w:val="18"/>
                <w:szCs w:val="18"/>
                <w:lang w:val="ro-RO"/>
              </w:rPr>
              <w:t>energetic</w:t>
            </w:r>
            <w:r w:rsidR="008B392E" w:rsidRPr="006258E5">
              <w:rPr>
                <w:rFonts w:ascii="Times New Roman" w:hAnsi="Times New Roman" w:cs="Times New Roman"/>
                <w:bCs/>
                <w:sz w:val="18"/>
                <w:szCs w:val="18"/>
                <w:lang w:val="ro-RO"/>
              </w:rPr>
              <w:t>ă</w:t>
            </w:r>
          </w:p>
          <w:p w14:paraId="752CD183" w14:textId="5A515DF8"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Dezvoltarea furnizorilor locali</w:t>
            </w:r>
            <w:r w:rsidR="004352C4" w:rsidRPr="006258E5">
              <w:rPr>
                <w:rFonts w:ascii="Times New Roman" w:hAnsi="Times New Roman" w:cs="Times New Roman"/>
                <w:bCs/>
                <w:sz w:val="18"/>
                <w:szCs w:val="18"/>
                <w:lang w:val="ro-RO"/>
              </w:rPr>
              <w:t xml:space="preserve"> şi </w:t>
            </w:r>
            <w:r w:rsidRPr="006258E5">
              <w:rPr>
                <w:rFonts w:ascii="Times New Roman" w:hAnsi="Times New Roman" w:cs="Times New Roman"/>
                <w:sz w:val="18"/>
                <w:szCs w:val="18"/>
                <w:lang w:val="ro-RO"/>
              </w:rPr>
              <w:t>a comunităților locale</w:t>
            </w:r>
          </w:p>
          <w:p w14:paraId="536E7B03" w14:textId="77777777"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Accesul la tehnologii de ultimă oră;</w:t>
            </w:r>
          </w:p>
          <w:p w14:paraId="5071F5A2" w14:textId="77777777" w:rsidR="005B34CB" w:rsidRPr="006258E5" w:rsidRDefault="005B34CB" w:rsidP="005B34CB">
            <w:pPr>
              <w:pStyle w:val="ListParagraph"/>
              <w:numPr>
                <w:ilvl w:val="0"/>
                <w:numId w:val="12"/>
              </w:numPr>
              <w:spacing w:line="276" w:lineRule="auto"/>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Îmbunătățirea balanței de plăți externe a României</w:t>
            </w:r>
          </w:p>
          <w:p w14:paraId="158FB585" w14:textId="0F826429" w:rsidR="005B34CB" w:rsidRPr="006258E5" w:rsidRDefault="008B392E" w:rsidP="33CBD9AB">
            <w:pPr>
              <w:pStyle w:val="ListParagraph"/>
              <w:numPr>
                <w:ilvl w:val="0"/>
                <w:numId w:val="12"/>
              </w:numPr>
              <w:spacing w:line="340" w:lineRule="atLeast"/>
              <w:rPr>
                <w:rFonts w:ascii="Times New Roman" w:hAnsi="Times New Roman" w:cs="Times New Roman"/>
                <w:sz w:val="18"/>
                <w:szCs w:val="18"/>
                <w:lang w:val="ro-RO"/>
              </w:rPr>
            </w:pPr>
            <w:r w:rsidRPr="006258E5">
              <w:rPr>
                <w:rFonts w:ascii="Times New Roman" w:hAnsi="Times New Roman" w:cs="Times New Roman"/>
                <w:sz w:val="18"/>
                <w:szCs w:val="18"/>
                <w:lang w:val="ro-RO"/>
              </w:rPr>
              <w:t>Creșterea</w:t>
            </w:r>
            <w:r w:rsidR="005B34CB" w:rsidRPr="006258E5">
              <w:rPr>
                <w:rFonts w:ascii="Times New Roman" w:hAnsi="Times New Roman" w:cs="Times New Roman"/>
                <w:sz w:val="18"/>
                <w:szCs w:val="18"/>
                <w:lang w:val="ro-RO"/>
              </w:rPr>
              <w:t xml:space="preserve"> </w:t>
            </w:r>
            <w:r w:rsidRPr="006258E5">
              <w:rPr>
                <w:rFonts w:ascii="Times New Roman" w:hAnsi="Times New Roman" w:cs="Times New Roman"/>
                <w:sz w:val="18"/>
                <w:szCs w:val="18"/>
                <w:lang w:val="ro-RO"/>
              </w:rPr>
              <w:t>șanselor</w:t>
            </w:r>
            <w:r w:rsidR="005B34CB" w:rsidRPr="006258E5">
              <w:rPr>
                <w:rFonts w:ascii="Times New Roman" w:hAnsi="Times New Roman" w:cs="Times New Roman"/>
                <w:sz w:val="18"/>
                <w:szCs w:val="18"/>
                <w:lang w:val="ro-RO"/>
              </w:rPr>
              <w:t xml:space="preserve"> ca </w:t>
            </w:r>
            <w:r w:rsidR="005920C3" w:rsidRPr="006258E5">
              <w:rPr>
                <w:rFonts w:ascii="Times New Roman" w:hAnsi="Times New Roman" w:cs="Times New Roman"/>
                <w:sz w:val="18"/>
                <w:szCs w:val="18"/>
                <w:lang w:val="ro-RO"/>
              </w:rPr>
              <w:t>România</w:t>
            </w:r>
            <w:r w:rsidR="005B34CB" w:rsidRPr="006258E5">
              <w:rPr>
                <w:rFonts w:ascii="Times New Roman" w:hAnsi="Times New Roman" w:cs="Times New Roman"/>
                <w:sz w:val="18"/>
                <w:szCs w:val="18"/>
                <w:lang w:val="ro-RO"/>
              </w:rPr>
              <w:t xml:space="preserve"> </w:t>
            </w:r>
            <w:r w:rsidR="005920C3" w:rsidRPr="006258E5">
              <w:rPr>
                <w:rFonts w:ascii="Times New Roman" w:hAnsi="Times New Roman" w:cs="Times New Roman"/>
                <w:sz w:val="18"/>
                <w:szCs w:val="18"/>
                <w:lang w:val="ro-RO"/>
              </w:rPr>
              <w:t>să</w:t>
            </w:r>
            <w:r w:rsidR="005B34CB" w:rsidRPr="006258E5">
              <w:rPr>
                <w:rFonts w:ascii="Times New Roman" w:hAnsi="Times New Roman" w:cs="Times New Roman"/>
                <w:sz w:val="18"/>
                <w:szCs w:val="18"/>
                <w:lang w:val="ro-RO"/>
              </w:rPr>
              <w:t xml:space="preserve"> se poziționeze ca important pol energetic regional.</w:t>
            </w:r>
          </w:p>
        </w:tc>
      </w:tr>
      <w:tr w:rsidR="005B34CB" w:rsidRPr="006258E5" w14:paraId="1FDF2B2B" w14:textId="77777777" w:rsidTr="60891C03">
        <w:tc>
          <w:tcPr>
            <w:tcW w:w="3351" w:type="dxa"/>
          </w:tcPr>
          <w:p w14:paraId="5FA40B72" w14:textId="77777777" w:rsidR="005B34CB" w:rsidRPr="006258E5" w:rsidRDefault="005B34CB" w:rsidP="005B34CB">
            <w:pPr>
              <w:spacing w:line="340" w:lineRule="atLeast"/>
              <w:rPr>
                <w:sz w:val="18"/>
                <w:szCs w:val="18"/>
                <w:lang w:val="ro-RO"/>
              </w:rPr>
            </w:pPr>
            <w:r w:rsidRPr="006258E5">
              <w:rPr>
                <w:b/>
                <w:sz w:val="18"/>
                <w:szCs w:val="18"/>
                <w:lang w:val="ro-RO"/>
              </w:rPr>
              <w:lastRenderedPageBreak/>
              <w:t>1^1 Impactul asupra mediului concurenţial şi  domeniului</w:t>
            </w:r>
            <w:r w:rsidRPr="006258E5">
              <w:rPr>
                <w:sz w:val="18"/>
                <w:szCs w:val="18"/>
                <w:lang w:val="ro-RO"/>
              </w:rPr>
              <w:t xml:space="preserve"> </w:t>
            </w:r>
            <w:r w:rsidRPr="006258E5">
              <w:rPr>
                <w:b/>
                <w:sz w:val="18"/>
                <w:szCs w:val="18"/>
                <w:lang w:val="ro-RO"/>
              </w:rPr>
              <w:t>ajutoarelor de stat</w:t>
            </w:r>
          </w:p>
        </w:tc>
        <w:tc>
          <w:tcPr>
            <w:tcW w:w="6520" w:type="dxa"/>
            <w:gridSpan w:val="8"/>
          </w:tcPr>
          <w:p w14:paraId="3357F90B" w14:textId="2D58C638" w:rsidR="005B34CB" w:rsidRPr="006258E5" w:rsidRDefault="005B34CB" w:rsidP="005B34CB">
            <w:pPr>
              <w:spacing w:line="340" w:lineRule="atLeast"/>
              <w:rPr>
                <w:sz w:val="18"/>
                <w:szCs w:val="18"/>
                <w:lang w:val="ro-RO"/>
              </w:rPr>
            </w:pPr>
            <w:r w:rsidRPr="006258E5">
              <w:rPr>
                <w:rFonts w:eastAsia="Calibri"/>
                <w:sz w:val="18"/>
                <w:szCs w:val="18"/>
                <w:lang w:val="ro-RO"/>
              </w:rPr>
              <w:t>Nu este cazul</w:t>
            </w:r>
            <w:r w:rsidRPr="006258E5">
              <w:rPr>
                <w:sz w:val="18"/>
                <w:szCs w:val="18"/>
                <w:lang w:val="ro-RO"/>
              </w:rPr>
              <w:t>.</w:t>
            </w:r>
          </w:p>
          <w:p w14:paraId="50F9F2A9" w14:textId="77777777" w:rsidR="005B34CB" w:rsidRPr="006258E5" w:rsidRDefault="005B34CB" w:rsidP="005B34CB">
            <w:pPr>
              <w:spacing w:line="340" w:lineRule="atLeast"/>
              <w:jc w:val="both"/>
              <w:rPr>
                <w:sz w:val="18"/>
                <w:szCs w:val="18"/>
                <w:lang w:val="ro-RO"/>
              </w:rPr>
            </w:pPr>
          </w:p>
        </w:tc>
      </w:tr>
      <w:tr w:rsidR="005B34CB" w:rsidRPr="006258E5" w14:paraId="706F32D5" w14:textId="77777777" w:rsidTr="60891C03">
        <w:tc>
          <w:tcPr>
            <w:tcW w:w="3351" w:type="dxa"/>
          </w:tcPr>
          <w:p w14:paraId="4F87C811" w14:textId="77777777" w:rsidR="005B34CB" w:rsidRPr="006258E5" w:rsidRDefault="005B34CB" w:rsidP="005B34CB">
            <w:pPr>
              <w:spacing w:line="340" w:lineRule="atLeast"/>
              <w:rPr>
                <w:b/>
                <w:sz w:val="18"/>
                <w:szCs w:val="18"/>
                <w:lang w:val="ro-RO"/>
              </w:rPr>
            </w:pPr>
            <w:r w:rsidRPr="006258E5">
              <w:rPr>
                <w:b/>
                <w:sz w:val="18"/>
                <w:szCs w:val="18"/>
                <w:lang w:val="ro-RO"/>
              </w:rPr>
              <w:t>2. Impactul asupra mediului de afaceri</w:t>
            </w:r>
          </w:p>
        </w:tc>
        <w:tc>
          <w:tcPr>
            <w:tcW w:w="6520" w:type="dxa"/>
            <w:gridSpan w:val="8"/>
          </w:tcPr>
          <w:p w14:paraId="27131DE7" w14:textId="4CE9EB25" w:rsidR="005B34CB" w:rsidRPr="006258E5" w:rsidRDefault="005B34CB" w:rsidP="005B34CB">
            <w:pPr>
              <w:spacing w:line="340" w:lineRule="atLeast"/>
              <w:rPr>
                <w:sz w:val="18"/>
                <w:szCs w:val="18"/>
                <w:lang w:val="ro-RO"/>
              </w:rPr>
            </w:pPr>
            <w:r w:rsidRPr="006258E5">
              <w:rPr>
                <w:rFonts w:eastAsia="Calibri"/>
                <w:sz w:val="18"/>
                <w:szCs w:val="18"/>
                <w:lang w:val="ro-RO"/>
              </w:rPr>
              <w:t>Modificările</w:t>
            </w:r>
            <w:r w:rsidR="004352C4" w:rsidRPr="006258E5">
              <w:rPr>
                <w:rFonts w:eastAsia="Calibri"/>
                <w:bCs/>
                <w:sz w:val="18"/>
                <w:szCs w:val="18"/>
                <w:lang w:val="ro-RO"/>
              </w:rPr>
              <w:t xml:space="preserve"> şi </w:t>
            </w:r>
            <w:r w:rsidRPr="006258E5">
              <w:rPr>
                <w:rFonts w:eastAsia="Calibri"/>
                <w:sz w:val="18"/>
                <w:szCs w:val="18"/>
                <w:lang w:val="ro-RO"/>
              </w:rPr>
              <w:t xml:space="preserve">completările introduse prin proiect sunt de natură să stimuleze pozitiv firmele implicate </w:t>
            </w:r>
            <w:r w:rsidR="00622EA4" w:rsidRPr="006258E5">
              <w:rPr>
                <w:rFonts w:eastAsia="Calibri"/>
                <w:sz w:val="18"/>
                <w:szCs w:val="18"/>
                <w:lang w:val="ro-RO"/>
              </w:rPr>
              <w:t>direct</w:t>
            </w:r>
            <w:r w:rsidR="003218E4" w:rsidRPr="006258E5">
              <w:rPr>
                <w:rFonts w:eastAsia="Calibri"/>
                <w:sz w:val="18"/>
                <w:szCs w:val="18"/>
                <w:lang w:val="ro-RO"/>
              </w:rPr>
              <w:t>, contract</w:t>
            </w:r>
            <w:r w:rsidR="00BA0564" w:rsidRPr="006258E5">
              <w:rPr>
                <w:rFonts w:eastAsia="Calibri"/>
                <w:sz w:val="18"/>
                <w:szCs w:val="18"/>
                <w:lang w:val="ro-RO"/>
              </w:rPr>
              <w:t>orii</w:t>
            </w:r>
            <w:r w:rsidR="004F4C6E" w:rsidRPr="006258E5">
              <w:rPr>
                <w:rFonts w:eastAsia="Calibri"/>
                <w:sz w:val="18"/>
                <w:szCs w:val="18"/>
                <w:lang w:val="ro-RO"/>
              </w:rPr>
              <w:t xml:space="preserve"> si</w:t>
            </w:r>
            <w:r w:rsidR="00F24336" w:rsidRPr="006258E5">
              <w:rPr>
                <w:rFonts w:eastAsia="Calibri"/>
                <w:sz w:val="18"/>
                <w:szCs w:val="18"/>
                <w:lang w:val="ro-RO"/>
              </w:rPr>
              <w:t xml:space="preserve"> </w:t>
            </w:r>
            <w:r w:rsidR="001E3251" w:rsidRPr="006258E5">
              <w:rPr>
                <w:rFonts w:eastAsia="Calibri"/>
                <w:sz w:val="18"/>
                <w:szCs w:val="18"/>
                <w:lang w:val="ro-RO"/>
              </w:rPr>
              <w:t>alte companii din lanțul de aprovizionare</w:t>
            </w:r>
            <w:r w:rsidR="00401F47" w:rsidRPr="006258E5">
              <w:rPr>
                <w:rFonts w:eastAsia="Calibri"/>
                <w:sz w:val="18"/>
                <w:szCs w:val="18"/>
                <w:lang w:val="ro-RO"/>
              </w:rPr>
              <w:t xml:space="preserve"> </w:t>
            </w:r>
            <w:r w:rsidR="00740B1B" w:rsidRPr="006258E5">
              <w:rPr>
                <w:rFonts w:eastAsia="Calibri"/>
                <w:sz w:val="18"/>
                <w:szCs w:val="18"/>
                <w:lang w:val="ro-RO"/>
              </w:rPr>
              <w:t xml:space="preserve">pentru </w:t>
            </w:r>
            <w:r w:rsidR="00025D1C" w:rsidRPr="006258E5">
              <w:rPr>
                <w:rFonts w:eastAsia="Calibri"/>
                <w:sz w:val="18"/>
                <w:szCs w:val="18"/>
                <w:lang w:val="ro-RO"/>
              </w:rPr>
              <w:t xml:space="preserve">industria offshore precum </w:t>
            </w:r>
            <w:r w:rsidR="00401F47" w:rsidRPr="006258E5">
              <w:rPr>
                <w:rFonts w:eastAsia="Calibri"/>
                <w:sz w:val="18"/>
                <w:szCs w:val="18"/>
                <w:lang w:val="ro-RO"/>
              </w:rPr>
              <w:t xml:space="preserve">și </w:t>
            </w:r>
            <w:r w:rsidR="00025D1C" w:rsidRPr="006258E5">
              <w:rPr>
                <w:rFonts w:eastAsia="Calibri"/>
                <w:sz w:val="18"/>
                <w:szCs w:val="18"/>
                <w:lang w:val="ro-RO"/>
              </w:rPr>
              <w:t xml:space="preserve">sectoarele </w:t>
            </w:r>
            <w:r w:rsidR="00401F47" w:rsidRPr="006258E5">
              <w:rPr>
                <w:rFonts w:eastAsia="Calibri"/>
                <w:sz w:val="18"/>
                <w:szCs w:val="18"/>
                <w:lang w:val="ro-RO"/>
              </w:rPr>
              <w:t>conexe</w:t>
            </w:r>
            <w:r w:rsidR="002675BE" w:rsidRPr="006258E5">
              <w:rPr>
                <w:rFonts w:eastAsia="Calibri"/>
                <w:sz w:val="18"/>
                <w:szCs w:val="18"/>
                <w:lang w:val="ro-RO"/>
              </w:rPr>
              <w:t xml:space="preserve">, </w:t>
            </w:r>
            <w:r w:rsidR="00E13802" w:rsidRPr="006258E5">
              <w:rPr>
                <w:rFonts w:eastAsia="Calibri"/>
                <w:sz w:val="18"/>
                <w:szCs w:val="18"/>
                <w:lang w:val="ro-RO"/>
              </w:rPr>
              <w:t xml:space="preserve">inclusiv cele care pot asigura o prelucrare superioară a gazelor naturale (ex. industria petrochimică, îngrășăminte agricole, </w:t>
            </w:r>
            <w:r w:rsidR="00811DCD" w:rsidRPr="006258E5">
              <w:rPr>
                <w:rFonts w:eastAsia="Calibri"/>
                <w:sz w:val="18"/>
                <w:szCs w:val="18"/>
                <w:lang w:val="ro-RO"/>
              </w:rPr>
              <w:t xml:space="preserve">generarea de energie electrică, </w:t>
            </w:r>
            <w:r w:rsidR="00E13802" w:rsidRPr="006258E5">
              <w:rPr>
                <w:rFonts w:eastAsia="Calibri"/>
                <w:sz w:val="18"/>
                <w:szCs w:val="18"/>
                <w:lang w:val="ro-RO"/>
              </w:rPr>
              <w:t>transporturi</w:t>
            </w:r>
            <w:r w:rsidR="00701E98" w:rsidRPr="006258E5">
              <w:rPr>
                <w:rFonts w:eastAsia="Calibri"/>
                <w:sz w:val="18"/>
                <w:szCs w:val="18"/>
                <w:lang w:val="ro-RO"/>
              </w:rPr>
              <w:t xml:space="preserve"> pe bază de gaz natural lichefiat sau comprimat</w:t>
            </w:r>
            <w:r w:rsidR="00DB1F69" w:rsidRPr="006258E5">
              <w:rPr>
                <w:rFonts w:eastAsia="Calibri"/>
                <w:sz w:val="18"/>
                <w:szCs w:val="18"/>
                <w:lang w:val="ro-RO"/>
              </w:rPr>
              <w:t xml:space="preserve">, </w:t>
            </w:r>
            <w:r w:rsidR="00561F31" w:rsidRPr="006258E5">
              <w:rPr>
                <w:rFonts w:eastAsia="Calibri"/>
                <w:sz w:val="18"/>
                <w:szCs w:val="18"/>
                <w:lang w:val="ro-RO"/>
              </w:rPr>
              <w:t xml:space="preserve">dezvoltarea rețelelor de distribuție </w:t>
            </w:r>
            <w:r w:rsidR="00701E98" w:rsidRPr="006258E5">
              <w:rPr>
                <w:rFonts w:eastAsia="Calibri"/>
                <w:sz w:val="18"/>
                <w:szCs w:val="18"/>
                <w:lang w:val="ro-RO"/>
              </w:rPr>
              <w:t xml:space="preserve">gaze naturale, </w:t>
            </w:r>
            <w:r w:rsidR="00811DCD" w:rsidRPr="006258E5">
              <w:rPr>
                <w:rFonts w:eastAsia="Calibri"/>
                <w:sz w:val="18"/>
                <w:szCs w:val="18"/>
                <w:lang w:val="ro-RO"/>
              </w:rPr>
              <w:t>producția de hidrogen și alți noi combustibili</w:t>
            </w:r>
            <w:r w:rsidR="004F6407" w:rsidRPr="006258E5">
              <w:rPr>
                <w:rFonts w:eastAsia="Calibri"/>
                <w:sz w:val="18"/>
                <w:szCs w:val="18"/>
                <w:lang w:val="ro-RO"/>
              </w:rPr>
              <w:t xml:space="preserve"> </w:t>
            </w:r>
            <w:r w:rsidR="00D36042" w:rsidRPr="006258E5">
              <w:rPr>
                <w:rFonts w:eastAsia="Calibri"/>
                <w:sz w:val="18"/>
                <w:szCs w:val="18"/>
                <w:lang w:val="ro-RO"/>
              </w:rPr>
              <w:t xml:space="preserve">cu emise </w:t>
            </w:r>
            <w:r w:rsidR="00CF49F8" w:rsidRPr="006258E5">
              <w:rPr>
                <w:rFonts w:eastAsia="Calibri"/>
                <w:sz w:val="18"/>
                <w:szCs w:val="18"/>
                <w:lang w:val="ro-RO"/>
              </w:rPr>
              <w:t>reduse de c</w:t>
            </w:r>
            <w:r w:rsidR="00954E20" w:rsidRPr="006258E5">
              <w:rPr>
                <w:rFonts w:eastAsia="Calibri"/>
                <w:sz w:val="18"/>
                <w:szCs w:val="18"/>
                <w:lang w:val="ro-RO"/>
              </w:rPr>
              <w:t>arbon.</w:t>
            </w:r>
          </w:p>
          <w:p w14:paraId="236EE5B6" w14:textId="77777777" w:rsidR="005B34CB" w:rsidRPr="006258E5" w:rsidRDefault="005B34CB" w:rsidP="005B34CB">
            <w:pPr>
              <w:spacing w:line="340" w:lineRule="atLeast"/>
              <w:jc w:val="both"/>
              <w:rPr>
                <w:sz w:val="18"/>
                <w:szCs w:val="18"/>
                <w:lang w:val="ro-RO"/>
              </w:rPr>
            </w:pPr>
          </w:p>
        </w:tc>
      </w:tr>
      <w:tr w:rsidR="005B34CB" w:rsidRPr="006258E5" w14:paraId="5D58A740" w14:textId="77777777" w:rsidTr="60891C03">
        <w:tc>
          <w:tcPr>
            <w:tcW w:w="3351" w:type="dxa"/>
          </w:tcPr>
          <w:p w14:paraId="74FE0CA9" w14:textId="77777777" w:rsidR="005B34CB" w:rsidRPr="006258E5" w:rsidRDefault="005B34CB" w:rsidP="005B34CB">
            <w:pPr>
              <w:spacing w:line="340" w:lineRule="atLeast"/>
              <w:rPr>
                <w:b/>
                <w:sz w:val="18"/>
                <w:szCs w:val="18"/>
                <w:lang w:val="ro-RO"/>
              </w:rPr>
            </w:pPr>
            <w:r w:rsidRPr="006258E5">
              <w:rPr>
                <w:b/>
                <w:color w:val="000000"/>
                <w:sz w:val="18"/>
                <w:szCs w:val="18"/>
                <w:lang w:val="ro-RO"/>
              </w:rPr>
              <w:t>2^1.</w:t>
            </w:r>
            <w:r w:rsidRPr="006258E5">
              <w:rPr>
                <w:b/>
                <w:color w:val="0000FF"/>
                <w:sz w:val="18"/>
                <w:szCs w:val="18"/>
                <w:lang w:val="ro-RO"/>
              </w:rPr>
              <w:t xml:space="preserve"> </w:t>
            </w:r>
            <w:r w:rsidRPr="006258E5">
              <w:rPr>
                <w:b/>
                <w:color w:val="000000"/>
                <w:sz w:val="18"/>
                <w:szCs w:val="18"/>
                <w:lang w:val="ro-RO"/>
              </w:rPr>
              <w:t>Impactul asupra sarcinilor          administrative</w:t>
            </w:r>
            <w:r w:rsidRPr="006258E5">
              <w:rPr>
                <w:b/>
                <w:color w:val="0000FF"/>
                <w:sz w:val="18"/>
                <w:szCs w:val="18"/>
                <w:lang w:val="ro-RO"/>
              </w:rPr>
              <w:t xml:space="preserve">                     </w:t>
            </w:r>
            <w:r w:rsidRPr="006258E5">
              <w:rPr>
                <w:b/>
                <w:sz w:val="18"/>
                <w:szCs w:val="18"/>
                <w:lang w:val="ro-RO"/>
              </w:rPr>
              <w:t xml:space="preserve">   </w:t>
            </w:r>
          </w:p>
        </w:tc>
        <w:tc>
          <w:tcPr>
            <w:tcW w:w="6520" w:type="dxa"/>
            <w:gridSpan w:val="8"/>
          </w:tcPr>
          <w:p w14:paraId="5138B631" w14:textId="22A50FEB" w:rsidR="005B34CB" w:rsidRPr="006258E5" w:rsidRDefault="005B34CB" w:rsidP="005B34CB">
            <w:pPr>
              <w:spacing w:line="340" w:lineRule="atLeast"/>
              <w:rPr>
                <w:sz w:val="18"/>
                <w:szCs w:val="18"/>
                <w:lang w:val="ro-RO"/>
              </w:rPr>
            </w:pPr>
            <w:r w:rsidRPr="006258E5">
              <w:rPr>
                <w:sz w:val="18"/>
                <w:szCs w:val="18"/>
                <w:lang w:val="ro-RO"/>
              </w:rPr>
              <w:t>Nu este cazul.</w:t>
            </w:r>
          </w:p>
          <w:p w14:paraId="07B246F4" w14:textId="77777777" w:rsidR="005B34CB" w:rsidRPr="006258E5" w:rsidRDefault="005B34CB" w:rsidP="005B34CB">
            <w:pPr>
              <w:spacing w:line="340" w:lineRule="atLeast"/>
              <w:jc w:val="both"/>
              <w:rPr>
                <w:sz w:val="18"/>
                <w:szCs w:val="18"/>
                <w:lang w:val="ro-RO"/>
              </w:rPr>
            </w:pPr>
          </w:p>
        </w:tc>
      </w:tr>
      <w:tr w:rsidR="005B34CB" w:rsidRPr="006258E5" w14:paraId="4C90B8C9" w14:textId="77777777" w:rsidTr="60891C03">
        <w:tc>
          <w:tcPr>
            <w:tcW w:w="3351" w:type="dxa"/>
          </w:tcPr>
          <w:p w14:paraId="2D152D53" w14:textId="77777777" w:rsidR="005B34CB" w:rsidRPr="006258E5" w:rsidRDefault="005B34CB" w:rsidP="005B34CB">
            <w:pPr>
              <w:spacing w:line="340" w:lineRule="atLeast"/>
              <w:rPr>
                <w:b/>
                <w:color w:val="000000"/>
                <w:sz w:val="18"/>
                <w:szCs w:val="18"/>
                <w:lang w:val="ro-RO"/>
              </w:rPr>
            </w:pPr>
            <w:r w:rsidRPr="006258E5">
              <w:rPr>
                <w:b/>
                <w:color w:val="000000"/>
                <w:sz w:val="18"/>
                <w:szCs w:val="18"/>
                <w:lang w:val="ro-RO"/>
              </w:rPr>
              <w:t>2^2</w:t>
            </w:r>
            <w:r w:rsidRPr="006258E5">
              <w:rPr>
                <w:color w:val="000000"/>
                <w:sz w:val="18"/>
                <w:szCs w:val="18"/>
                <w:lang w:val="ro-RO"/>
              </w:rPr>
              <w:t xml:space="preserve">. </w:t>
            </w:r>
            <w:r w:rsidRPr="006258E5">
              <w:rPr>
                <w:b/>
                <w:color w:val="000000"/>
                <w:sz w:val="18"/>
                <w:szCs w:val="18"/>
                <w:lang w:val="ro-RO"/>
              </w:rPr>
              <w:t>Impactul asupra întreprinderilor mici şi mijlocii</w:t>
            </w:r>
            <w:r w:rsidRPr="006258E5">
              <w:rPr>
                <w:color w:val="000000"/>
                <w:sz w:val="18"/>
                <w:szCs w:val="18"/>
                <w:lang w:val="ro-RO"/>
              </w:rPr>
              <w:t xml:space="preserve">                      </w:t>
            </w:r>
          </w:p>
        </w:tc>
        <w:tc>
          <w:tcPr>
            <w:tcW w:w="6520" w:type="dxa"/>
            <w:gridSpan w:val="8"/>
          </w:tcPr>
          <w:p w14:paraId="20789249" w14:textId="181D821F" w:rsidR="005B34CB" w:rsidRPr="006258E5" w:rsidRDefault="00954E20" w:rsidP="005B34CB">
            <w:pPr>
              <w:spacing w:line="340" w:lineRule="atLeast"/>
              <w:rPr>
                <w:sz w:val="18"/>
                <w:szCs w:val="18"/>
                <w:lang w:val="ro-RO"/>
              </w:rPr>
            </w:pPr>
            <w:r w:rsidRPr="006258E5">
              <w:rPr>
                <w:rFonts w:eastAsia="Calibri"/>
                <w:sz w:val="18"/>
                <w:szCs w:val="18"/>
                <w:lang w:val="ro-RO"/>
              </w:rPr>
              <w:t xml:space="preserve">Modificările şi completările introduse prin proiect </w:t>
            </w:r>
            <w:r w:rsidR="0033528F" w:rsidRPr="006258E5">
              <w:rPr>
                <w:rFonts w:eastAsia="Calibri"/>
                <w:sz w:val="18"/>
                <w:szCs w:val="18"/>
                <w:lang w:val="ro-RO"/>
              </w:rPr>
              <w:t xml:space="preserve">vor </w:t>
            </w:r>
            <w:r w:rsidRPr="006258E5">
              <w:rPr>
                <w:rFonts w:eastAsia="Calibri"/>
                <w:sz w:val="18"/>
                <w:szCs w:val="18"/>
                <w:lang w:val="ro-RO"/>
              </w:rPr>
              <w:t>stimul</w:t>
            </w:r>
            <w:r w:rsidR="0022427C" w:rsidRPr="006258E5">
              <w:rPr>
                <w:rFonts w:eastAsia="Calibri"/>
                <w:sz w:val="18"/>
                <w:szCs w:val="18"/>
                <w:lang w:val="ro-RO"/>
              </w:rPr>
              <w:t>a</w:t>
            </w:r>
            <w:r w:rsidRPr="006258E5">
              <w:rPr>
                <w:rFonts w:eastAsia="Calibri"/>
                <w:sz w:val="18"/>
                <w:szCs w:val="18"/>
                <w:lang w:val="ro-RO"/>
              </w:rPr>
              <w:t xml:space="preserve"> </w:t>
            </w:r>
            <w:r w:rsidR="003D6BD3" w:rsidRPr="006258E5">
              <w:rPr>
                <w:rFonts w:eastAsia="Calibri"/>
                <w:sz w:val="18"/>
                <w:szCs w:val="18"/>
                <w:lang w:val="ro-RO"/>
              </w:rPr>
              <w:t>dez</w:t>
            </w:r>
            <w:r w:rsidR="008A3425" w:rsidRPr="006258E5">
              <w:rPr>
                <w:rFonts w:eastAsia="Calibri"/>
                <w:sz w:val="18"/>
                <w:szCs w:val="18"/>
                <w:lang w:val="ro-RO"/>
              </w:rPr>
              <w:t>voltarea</w:t>
            </w:r>
            <w:r w:rsidRPr="006258E5">
              <w:rPr>
                <w:sz w:val="18"/>
                <w:szCs w:val="18"/>
                <w:lang w:val="ro-RO"/>
              </w:rPr>
              <w:t xml:space="preserve"> </w:t>
            </w:r>
            <w:r w:rsidR="007252AD" w:rsidRPr="006258E5">
              <w:rPr>
                <w:sz w:val="18"/>
                <w:szCs w:val="18"/>
                <w:lang w:val="ro-RO"/>
              </w:rPr>
              <w:t>întreprinderil</w:t>
            </w:r>
            <w:r w:rsidR="008A3425" w:rsidRPr="006258E5">
              <w:rPr>
                <w:sz w:val="18"/>
                <w:szCs w:val="18"/>
                <w:lang w:val="ro-RO"/>
              </w:rPr>
              <w:t>or</w:t>
            </w:r>
            <w:r w:rsidR="007252AD" w:rsidRPr="006258E5">
              <w:rPr>
                <w:sz w:val="18"/>
                <w:szCs w:val="18"/>
                <w:lang w:val="ro-RO"/>
              </w:rPr>
              <w:t xml:space="preserve"> mici și mijlocii </w:t>
            </w:r>
            <w:r w:rsidR="003D6BD3" w:rsidRPr="006258E5">
              <w:rPr>
                <w:sz w:val="18"/>
                <w:szCs w:val="18"/>
                <w:lang w:val="ro-RO"/>
              </w:rPr>
              <w:t>implicate în</w:t>
            </w:r>
            <w:r w:rsidR="006775C8" w:rsidRPr="006258E5">
              <w:rPr>
                <w:sz w:val="18"/>
                <w:szCs w:val="18"/>
                <w:lang w:val="ro-RO"/>
              </w:rPr>
              <w:t xml:space="preserve"> sectorul offshore, </w:t>
            </w:r>
            <w:r w:rsidR="152B9529" w:rsidRPr="006258E5">
              <w:rPr>
                <w:sz w:val="18"/>
                <w:szCs w:val="18"/>
                <w:lang w:val="ro-RO"/>
              </w:rPr>
              <w:t xml:space="preserve">a </w:t>
            </w:r>
            <w:r w:rsidR="006775C8" w:rsidRPr="006258E5">
              <w:rPr>
                <w:sz w:val="18"/>
                <w:szCs w:val="18"/>
                <w:lang w:val="ro-RO"/>
              </w:rPr>
              <w:t>industriil</w:t>
            </w:r>
            <w:r w:rsidR="5B6D5E67" w:rsidRPr="006258E5">
              <w:rPr>
                <w:sz w:val="18"/>
                <w:szCs w:val="18"/>
                <w:lang w:val="ro-RO"/>
              </w:rPr>
              <w:t>or</w:t>
            </w:r>
            <w:r w:rsidR="006775C8" w:rsidRPr="006258E5">
              <w:rPr>
                <w:sz w:val="18"/>
                <w:szCs w:val="18"/>
                <w:lang w:val="ro-RO"/>
              </w:rPr>
              <w:t xml:space="preserve"> conexe</w:t>
            </w:r>
            <w:r w:rsidR="002360B8" w:rsidRPr="006258E5">
              <w:rPr>
                <w:sz w:val="18"/>
                <w:szCs w:val="18"/>
                <w:lang w:val="ro-RO"/>
              </w:rPr>
              <w:t xml:space="preserve">, precum și </w:t>
            </w:r>
            <w:r w:rsidR="008A3425" w:rsidRPr="006258E5">
              <w:rPr>
                <w:sz w:val="18"/>
                <w:szCs w:val="18"/>
                <w:lang w:val="ro-RO"/>
              </w:rPr>
              <w:t>a</w:t>
            </w:r>
            <w:r w:rsidR="00601F4C" w:rsidRPr="006258E5">
              <w:rPr>
                <w:sz w:val="18"/>
                <w:szCs w:val="18"/>
                <w:lang w:val="ro-RO"/>
              </w:rPr>
              <w:t xml:space="preserve"> cel</w:t>
            </w:r>
            <w:r w:rsidR="008A3425" w:rsidRPr="006258E5">
              <w:rPr>
                <w:sz w:val="18"/>
                <w:szCs w:val="18"/>
                <w:lang w:val="ro-RO"/>
              </w:rPr>
              <w:t>or</w:t>
            </w:r>
            <w:r w:rsidR="00601F4C" w:rsidRPr="006258E5">
              <w:rPr>
                <w:sz w:val="18"/>
                <w:szCs w:val="18"/>
                <w:lang w:val="ro-RO"/>
              </w:rPr>
              <w:t xml:space="preserve"> afectate pozitiv de impactul economic indirect și indus generat de </w:t>
            </w:r>
            <w:r w:rsidR="00B72506" w:rsidRPr="006258E5">
              <w:rPr>
                <w:sz w:val="18"/>
                <w:szCs w:val="18"/>
                <w:lang w:val="ro-RO"/>
              </w:rPr>
              <w:t>proiectele offshore.</w:t>
            </w:r>
          </w:p>
        </w:tc>
      </w:tr>
      <w:tr w:rsidR="005B34CB" w:rsidRPr="006258E5" w14:paraId="1509F6C8" w14:textId="77777777" w:rsidTr="60891C03">
        <w:trPr>
          <w:trHeight w:val="422"/>
        </w:trPr>
        <w:tc>
          <w:tcPr>
            <w:tcW w:w="3351" w:type="dxa"/>
          </w:tcPr>
          <w:p w14:paraId="670DCEAF" w14:textId="77777777" w:rsidR="005B34CB" w:rsidRPr="006258E5" w:rsidRDefault="005B34CB" w:rsidP="005B34CB">
            <w:pPr>
              <w:spacing w:line="340" w:lineRule="atLeast"/>
              <w:rPr>
                <w:b/>
                <w:sz w:val="18"/>
                <w:szCs w:val="18"/>
                <w:lang w:val="ro-RO"/>
              </w:rPr>
            </w:pPr>
            <w:r w:rsidRPr="006258E5">
              <w:rPr>
                <w:b/>
                <w:sz w:val="18"/>
                <w:szCs w:val="18"/>
                <w:lang w:val="ro-RO"/>
              </w:rPr>
              <w:t>3. Impactul social</w:t>
            </w:r>
          </w:p>
        </w:tc>
        <w:tc>
          <w:tcPr>
            <w:tcW w:w="6520" w:type="dxa"/>
            <w:gridSpan w:val="8"/>
          </w:tcPr>
          <w:p w14:paraId="17BEFD59" w14:textId="2DBFB5C8" w:rsidR="005B34CB" w:rsidRPr="006258E5" w:rsidRDefault="005B34CB" w:rsidP="005B34CB">
            <w:pPr>
              <w:spacing w:line="340" w:lineRule="atLeast"/>
              <w:rPr>
                <w:sz w:val="18"/>
                <w:szCs w:val="18"/>
                <w:lang w:val="ro-RO"/>
              </w:rPr>
            </w:pPr>
            <w:r w:rsidRPr="006258E5">
              <w:rPr>
                <w:sz w:val="18"/>
                <w:szCs w:val="18"/>
                <w:lang w:val="ro-RO"/>
              </w:rPr>
              <w:t>Nu este cazul.</w:t>
            </w:r>
          </w:p>
        </w:tc>
      </w:tr>
      <w:tr w:rsidR="005B34CB" w:rsidRPr="006258E5" w14:paraId="087A4C65" w14:textId="77777777" w:rsidTr="60891C03">
        <w:trPr>
          <w:trHeight w:val="323"/>
        </w:trPr>
        <w:tc>
          <w:tcPr>
            <w:tcW w:w="3351" w:type="dxa"/>
          </w:tcPr>
          <w:p w14:paraId="3A4D1A04" w14:textId="77777777" w:rsidR="005B34CB" w:rsidRPr="006258E5" w:rsidRDefault="005B34CB" w:rsidP="005B34CB">
            <w:pPr>
              <w:spacing w:line="340" w:lineRule="atLeast"/>
              <w:rPr>
                <w:b/>
                <w:sz w:val="18"/>
                <w:szCs w:val="18"/>
                <w:lang w:val="ro-RO"/>
              </w:rPr>
            </w:pPr>
            <w:r w:rsidRPr="006258E5">
              <w:rPr>
                <w:b/>
                <w:sz w:val="18"/>
                <w:szCs w:val="18"/>
                <w:lang w:val="ro-RO"/>
              </w:rPr>
              <w:t xml:space="preserve">4. Impactul asupra mediului </w:t>
            </w:r>
          </w:p>
        </w:tc>
        <w:tc>
          <w:tcPr>
            <w:tcW w:w="6520" w:type="dxa"/>
            <w:gridSpan w:val="8"/>
          </w:tcPr>
          <w:p w14:paraId="47F46C6F" w14:textId="77777777" w:rsidR="005B34CB" w:rsidRPr="006258E5" w:rsidRDefault="005B34CB" w:rsidP="005B34CB">
            <w:pPr>
              <w:jc w:val="both"/>
              <w:rPr>
                <w:sz w:val="18"/>
                <w:szCs w:val="18"/>
                <w:lang w:val="ro-RO"/>
              </w:rPr>
            </w:pPr>
            <w:r w:rsidRPr="006258E5">
              <w:rPr>
                <w:sz w:val="18"/>
                <w:szCs w:val="18"/>
                <w:lang w:val="ro-RO"/>
              </w:rPr>
              <w:t xml:space="preserve">Impact pozitiv asupra mediului,  gazele naturale având emisii considerabil mai mici de poluanți atmosferici si, cel mai important, reprezintă cel mai curat dintre combustibilii fosili, emisiile de carbon pe unitatea de energie fiind cu 40% mai mici decât ale cărbunelui.    </w:t>
            </w:r>
          </w:p>
          <w:p w14:paraId="3AEBF09B" w14:textId="77777777" w:rsidR="005B34CB" w:rsidRPr="006258E5" w:rsidRDefault="005B34CB" w:rsidP="005B34CB">
            <w:pPr>
              <w:spacing w:line="340" w:lineRule="atLeast"/>
              <w:rPr>
                <w:sz w:val="18"/>
                <w:szCs w:val="18"/>
                <w:lang w:val="ro-RO"/>
              </w:rPr>
            </w:pPr>
          </w:p>
        </w:tc>
      </w:tr>
      <w:tr w:rsidR="005B34CB" w:rsidRPr="006258E5" w14:paraId="63EAB6A5" w14:textId="77777777" w:rsidTr="60891C03">
        <w:trPr>
          <w:trHeight w:val="233"/>
        </w:trPr>
        <w:tc>
          <w:tcPr>
            <w:tcW w:w="3351" w:type="dxa"/>
          </w:tcPr>
          <w:p w14:paraId="56D16940" w14:textId="77777777" w:rsidR="005B34CB" w:rsidRPr="006258E5" w:rsidRDefault="005B34CB" w:rsidP="005B34CB">
            <w:pPr>
              <w:spacing w:line="340" w:lineRule="atLeast"/>
              <w:rPr>
                <w:b/>
                <w:sz w:val="18"/>
                <w:szCs w:val="18"/>
                <w:lang w:val="ro-RO"/>
              </w:rPr>
            </w:pPr>
            <w:r w:rsidRPr="006258E5">
              <w:rPr>
                <w:b/>
                <w:sz w:val="18"/>
                <w:szCs w:val="18"/>
                <w:lang w:val="ro-RO"/>
              </w:rPr>
              <w:t>5. Alte informații</w:t>
            </w:r>
          </w:p>
        </w:tc>
        <w:tc>
          <w:tcPr>
            <w:tcW w:w="6520" w:type="dxa"/>
            <w:gridSpan w:val="8"/>
          </w:tcPr>
          <w:p w14:paraId="3ABF9CAF" w14:textId="6E2B7BC6" w:rsidR="005B34CB" w:rsidRPr="006258E5" w:rsidRDefault="005B34CB" w:rsidP="005B34CB">
            <w:pPr>
              <w:spacing w:line="340" w:lineRule="atLeast"/>
              <w:rPr>
                <w:sz w:val="18"/>
                <w:szCs w:val="18"/>
                <w:lang w:val="ro-RO"/>
              </w:rPr>
            </w:pPr>
            <w:r w:rsidRPr="006258E5">
              <w:rPr>
                <w:sz w:val="18"/>
                <w:szCs w:val="18"/>
                <w:lang w:val="ro-RO"/>
              </w:rPr>
              <w:t>Nu au fost identificate.</w:t>
            </w:r>
          </w:p>
        </w:tc>
      </w:tr>
      <w:tr w:rsidR="005B34CB" w:rsidRPr="006258E5" w14:paraId="69CB20F2" w14:textId="77777777" w:rsidTr="60891C03">
        <w:tc>
          <w:tcPr>
            <w:tcW w:w="9871" w:type="dxa"/>
            <w:gridSpan w:val="9"/>
          </w:tcPr>
          <w:p w14:paraId="3E6DC650" w14:textId="77777777" w:rsidR="005B34CB" w:rsidRPr="006258E5" w:rsidRDefault="005B34CB" w:rsidP="005B34CB">
            <w:pPr>
              <w:spacing w:line="340" w:lineRule="atLeast"/>
              <w:jc w:val="center"/>
              <w:rPr>
                <w:b/>
                <w:sz w:val="18"/>
                <w:szCs w:val="18"/>
                <w:lang w:val="ro-RO"/>
              </w:rPr>
            </w:pPr>
            <w:r w:rsidRPr="006258E5">
              <w:rPr>
                <w:b/>
                <w:sz w:val="18"/>
                <w:szCs w:val="18"/>
                <w:lang w:val="ro-RO"/>
              </w:rPr>
              <w:t>Secţiunea a 4-a</w:t>
            </w:r>
          </w:p>
          <w:p w14:paraId="145DB3E5" w14:textId="77777777" w:rsidR="005B34CB" w:rsidRPr="006258E5" w:rsidRDefault="005B34CB" w:rsidP="005B34CB">
            <w:pPr>
              <w:spacing w:line="340" w:lineRule="atLeast"/>
              <w:jc w:val="center"/>
              <w:rPr>
                <w:b/>
                <w:sz w:val="18"/>
                <w:szCs w:val="18"/>
                <w:lang w:val="ro-RO"/>
              </w:rPr>
            </w:pPr>
            <w:r w:rsidRPr="006258E5">
              <w:rPr>
                <w:b/>
                <w:sz w:val="18"/>
                <w:szCs w:val="18"/>
                <w:lang w:val="ro-RO"/>
              </w:rPr>
              <w:t>Impactul financiar asupra bugetului general consolidat, atât pe termen scurt, pentru anul curent, cât şi pe termen lung (pe 5 ani)</w:t>
            </w:r>
          </w:p>
        </w:tc>
      </w:tr>
      <w:tr w:rsidR="005B34CB" w:rsidRPr="006258E5" w14:paraId="2F906E16" w14:textId="77777777" w:rsidTr="60891C03">
        <w:trPr>
          <w:trHeight w:val="241"/>
        </w:trPr>
        <w:tc>
          <w:tcPr>
            <w:tcW w:w="9871" w:type="dxa"/>
            <w:gridSpan w:val="9"/>
          </w:tcPr>
          <w:p w14:paraId="30BBCC11" w14:textId="77777777" w:rsidR="005B34CB" w:rsidRPr="006258E5" w:rsidRDefault="005B34CB" w:rsidP="005B34CB">
            <w:pPr>
              <w:spacing w:line="340" w:lineRule="atLeast"/>
              <w:jc w:val="right"/>
              <w:rPr>
                <w:b/>
                <w:sz w:val="18"/>
                <w:szCs w:val="18"/>
                <w:lang w:val="ro-RO"/>
              </w:rPr>
            </w:pPr>
            <w:r w:rsidRPr="006258E5">
              <w:rPr>
                <w:b/>
                <w:sz w:val="18"/>
                <w:szCs w:val="18"/>
                <w:lang w:val="ro-RO"/>
              </w:rPr>
              <w:t>- mii lei -</w:t>
            </w:r>
          </w:p>
        </w:tc>
      </w:tr>
      <w:tr w:rsidR="005B34CB" w:rsidRPr="006258E5" w14:paraId="247D22B8" w14:textId="77777777" w:rsidTr="60891C03">
        <w:trPr>
          <w:trHeight w:val="952"/>
        </w:trPr>
        <w:tc>
          <w:tcPr>
            <w:tcW w:w="4410" w:type="dxa"/>
            <w:gridSpan w:val="2"/>
          </w:tcPr>
          <w:p w14:paraId="52DC0786" w14:textId="77777777" w:rsidR="005B34CB" w:rsidRPr="006258E5" w:rsidRDefault="005B34CB" w:rsidP="005B34CB">
            <w:pPr>
              <w:spacing w:line="340" w:lineRule="atLeast"/>
              <w:jc w:val="center"/>
              <w:rPr>
                <w:b/>
                <w:sz w:val="18"/>
                <w:szCs w:val="18"/>
                <w:lang w:val="ro-RO"/>
              </w:rPr>
            </w:pPr>
            <w:r w:rsidRPr="006258E5">
              <w:rPr>
                <w:b/>
                <w:sz w:val="18"/>
                <w:szCs w:val="18"/>
                <w:lang w:val="ro-RO"/>
              </w:rPr>
              <w:lastRenderedPageBreak/>
              <w:t>Indicatori</w:t>
            </w:r>
          </w:p>
        </w:tc>
        <w:tc>
          <w:tcPr>
            <w:tcW w:w="990" w:type="dxa"/>
            <w:gridSpan w:val="2"/>
          </w:tcPr>
          <w:p w14:paraId="5E198F19" w14:textId="77777777" w:rsidR="005B34CB" w:rsidRPr="006258E5" w:rsidRDefault="005B34CB" w:rsidP="005B34CB">
            <w:pPr>
              <w:spacing w:line="340" w:lineRule="atLeast"/>
              <w:jc w:val="center"/>
              <w:rPr>
                <w:b/>
                <w:sz w:val="18"/>
                <w:szCs w:val="18"/>
                <w:lang w:val="ro-RO"/>
              </w:rPr>
            </w:pPr>
            <w:r w:rsidRPr="006258E5">
              <w:rPr>
                <w:b/>
                <w:sz w:val="18"/>
                <w:szCs w:val="18"/>
                <w:lang w:val="ro-RO"/>
              </w:rPr>
              <w:t>Anul</w:t>
            </w:r>
          </w:p>
          <w:p w14:paraId="15938FBF" w14:textId="77777777" w:rsidR="005B34CB" w:rsidRPr="006258E5" w:rsidRDefault="005B34CB" w:rsidP="005B34CB">
            <w:pPr>
              <w:spacing w:line="340" w:lineRule="atLeast"/>
              <w:jc w:val="center"/>
              <w:rPr>
                <w:b/>
                <w:sz w:val="18"/>
                <w:szCs w:val="18"/>
                <w:lang w:val="ro-RO"/>
              </w:rPr>
            </w:pPr>
            <w:r w:rsidRPr="006258E5">
              <w:rPr>
                <w:b/>
                <w:sz w:val="18"/>
                <w:szCs w:val="18"/>
                <w:lang w:val="ro-RO"/>
              </w:rPr>
              <w:t>curent</w:t>
            </w:r>
          </w:p>
        </w:tc>
        <w:tc>
          <w:tcPr>
            <w:tcW w:w="3330" w:type="dxa"/>
            <w:gridSpan w:val="4"/>
          </w:tcPr>
          <w:p w14:paraId="58FE47CF" w14:textId="77777777" w:rsidR="005B34CB" w:rsidRPr="006258E5" w:rsidRDefault="005B34CB" w:rsidP="005B34CB">
            <w:pPr>
              <w:spacing w:line="340" w:lineRule="atLeast"/>
              <w:jc w:val="center"/>
              <w:rPr>
                <w:b/>
                <w:sz w:val="18"/>
                <w:szCs w:val="18"/>
                <w:lang w:val="ro-RO"/>
              </w:rPr>
            </w:pPr>
            <w:r w:rsidRPr="006258E5">
              <w:rPr>
                <w:b/>
                <w:sz w:val="18"/>
                <w:szCs w:val="18"/>
                <w:lang w:val="ro-RO"/>
              </w:rPr>
              <w:t>Următorii</w:t>
            </w:r>
          </w:p>
          <w:p w14:paraId="2E15BD99" w14:textId="77777777" w:rsidR="005B34CB" w:rsidRPr="006258E5" w:rsidRDefault="005B34CB" w:rsidP="005B34CB">
            <w:pPr>
              <w:spacing w:line="340" w:lineRule="atLeast"/>
              <w:jc w:val="center"/>
              <w:rPr>
                <w:b/>
                <w:sz w:val="18"/>
                <w:szCs w:val="18"/>
                <w:lang w:val="ro-RO"/>
              </w:rPr>
            </w:pPr>
            <w:r w:rsidRPr="006258E5">
              <w:rPr>
                <w:b/>
                <w:sz w:val="18"/>
                <w:szCs w:val="18"/>
                <w:lang w:val="ro-RO"/>
              </w:rPr>
              <w:t>4 ani</w:t>
            </w:r>
          </w:p>
        </w:tc>
        <w:tc>
          <w:tcPr>
            <w:tcW w:w="1141" w:type="dxa"/>
          </w:tcPr>
          <w:p w14:paraId="1317518E" w14:textId="77777777" w:rsidR="005B34CB" w:rsidRPr="006258E5" w:rsidRDefault="005B34CB" w:rsidP="005B34CB">
            <w:pPr>
              <w:spacing w:line="340" w:lineRule="atLeast"/>
              <w:jc w:val="center"/>
              <w:rPr>
                <w:b/>
                <w:sz w:val="18"/>
                <w:szCs w:val="18"/>
                <w:lang w:val="ro-RO"/>
              </w:rPr>
            </w:pPr>
            <w:r w:rsidRPr="006258E5">
              <w:rPr>
                <w:b/>
                <w:sz w:val="18"/>
                <w:szCs w:val="18"/>
                <w:lang w:val="ro-RO"/>
              </w:rPr>
              <w:t>Media</w:t>
            </w:r>
          </w:p>
          <w:p w14:paraId="00A06631" w14:textId="77777777" w:rsidR="005B34CB" w:rsidRPr="006258E5" w:rsidRDefault="005B34CB" w:rsidP="005B34CB">
            <w:pPr>
              <w:spacing w:line="340" w:lineRule="atLeast"/>
              <w:jc w:val="center"/>
              <w:rPr>
                <w:b/>
                <w:sz w:val="18"/>
                <w:szCs w:val="18"/>
                <w:lang w:val="ro-RO"/>
              </w:rPr>
            </w:pPr>
            <w:r w:rsidRPr="006258E5">
              <w:rPr>
                <w:b/>
                <w:sz w:val="18"/>
                <w:szCs w:val="18"/>
                <w:lang w:val="ro-RO"/>
              </w:rPr>
              <w:t>pe 5 ani</w:t>
            </w:r>
          </w:p>
        </w:tc>
      </w:tr>
      <w:tr w:rsidR="005B34CB" w:rsidRPr="006258E5" w14:paraId="07FE48AD" w14:textId="77777777" w:rsidTr="60891C03">
        <w:tc>
          <w:tcPr>
            <w:tcW w:w="4410" w:type="dxa"/>
            <w:gridSpan w:val="2"/>
          </w:tcPr>
          <w:p w14:paraId="6FA9BA2B" w14:textId="77777777" w:rsidR="005B34CB" w:rsidRPr="006258E5" w:rsidRDefault="005B34CB" w:rsidP="005B34CB">
            <w:pPr>
              <w:spacing w:line="340" w:lineRule="atLeast"/>
              <w:jc w:val="center"/>
              <w:rPr>
                <w:sz w:val="18"/>
                <w:szCs w:val="18"/>
                <w:lang w:val="ro-RO"/>
              </w:rPr>
            </w:pPr>
            <w:r w:rsidRPr="006258E5">
              <w:rPr>
                <w:sz w:val="18"/>
                <w:szCs w:val="18"/>
                <w:lang w:val="ro-RO"/>
              </w:rPr>
              <w:t>1</w:t>
            </w:r>
          </w:p>
        </w:tc>
        <w:tc>
          <w:tcPr>
            <w:tcW w:w="990" w:type="dxa"/>
            <w:gridSpan w:val="2"/>
          </w:tcPr>
          <w:p w14:paraId="5D57FA58" w14:textId="77777777" w:rsidR="005B34CB" w:rsidRPr="006258E5" w:rsidRDefault="005B34CB" w:rsidP="005B34CB">
            <w:pPr>
              <w:spacing w:line="340" w:lineRule="atLeast"/>
              <w:jc w:val="center"/>
              <w:rPr>
                <w:sz w:val="18"/>
                <w:szCs w:val="18"/>
                <w:lang w:val="ro-RO"/>
              </w:rPr>
            </w:pPr>
            <w:r w:rsidRPr="006258E5">
              <w:rPr>
                <w:sz w:val="18"/>
                <w:szCs w:val="18"/>
                <w:lang w:val="ro-RO"/>
              </w:rPr>
              <w:t>2</w:t>
            </w:r>
          </w:p>
        </w:tc>
        <w:tc>
          <w:tcPr>
            <w:tcW w:w="810" w:type="dxa"/>
          </w:tcPr>
          <w:p w14:paraId="132BE7CD" w14:textId="77777777" w:rsidR="005B34CB" w:rsidRPr="006258E5" w:rsidRDefault="005B34CB" w:rsidP="005B34CB">
            <w:pPr>
              <w:spacing w:line="340" w:lineRule="atLeast"/>
              <w:jc w:val="center"/>
              <w:rPr>
                <w:sz w:val="18"/>
                <w:szCs w:val="18"/>
                <w:lang w:val="ro-RO"/>
              </w:rPr>
            </w:pPr>
            <w:r w:rsidRPr="006258E5">
              <w:rPr>
                <w:sz w:val="18"/>
                <w:szCs w:val="18"/>
                <w:lang w:val="ro-RO"/>
              </w:rPr>
              <w:t>3</w:t>
            </w:r>
          </w:p>
        </w:tc>
        <w:tc>
          <w:tcPr>
            <w:tcW w:w="900" w:type="dxa"/>
          </w:tcPr>
          <w:p w14:paraId="1668512F" w14:textId="77777777" w:rsidR="005B34CB" w:rsidRPr="006258E5" w:rsidRDefault="005B34CB" w:rsidP="005B34CB">
            <w:pPr>
              <w:spacing w:line="340" w:lineRule="atLeast"/>
              <w:jc w:val="center"/>
              <w:rPr>
                <w:sz w:val="18"/>
                <w:szCs w:val="18"/>
                <w:lang w:val="ro-RO"/>
              </w:rPr>
            </w:pPr>
            <w:r w:rsidRPr="006258E5">
              <w:rPr>
                <w:sz w:val="18"/>
                <w:szCs w:val="18"/>
                <w:lang w:val="ro-RO"/>
              </w:rPr>
              <w:t>4</w:t>
            </w:r>
          </w:p>
        </w:tc>
        <w:tc>
          <w:tcPr>
            <w:tcW w:w="810" w:type="dxa"/>
          </w:tcPr>
          <w:p w14:paraId="3AFF23E8" w14:textId="77777777" w:rsidR="005B34CB" w:rsidRPr="006258E5" w:rsidRDefault="005B34CB" w:rsidP="005B34CB">
            <w:pPr>
              <w:spacing w:line="340" w:lineRule="atLeast"/>
              <w:jc w:val="center"/>
              <w:rPr>
                <w:sz w:val="18"/>
                <w:szCs w:val="18"/>
                <w:lang w:val="ro-RO"/>
              </w:rPr>
            </w:pPr>
            <w:r w:rsidRPr="006258E5">
              <w:rPr>
                <w:sz w:val="18"/>
                <w:szCs w:val="18"/>
                <w:lang w:val="ro-RO"/>
              </w:rPr>
              <w:t>5</w:t>
            </w:r>
          </w:p>
        </w:tc>
        <w:tc>
          <w:tcPr>
            <w:tcW w:w="810" w:type="dxa"/>
          </w:tcPr>
          <w:p w14:paraId="69115F15" w14:textId="77777777" w:rsidR="005B34CB" w:rsidRPr="006258E5" w:rsidRDefault="005B34CB" w:rsidP="005B34CB">
            <w:pPr>
              <w:spacing w:line="340" w:lineRule="atLeast"/>
              <w:jc w:val="center"/>
              <w:rPr>
                <w:sz w:val="18"/>
                <w:szCs w:val="18"/>
                <w:lang w:val="ro-RO"/>
              </w:rPr>
            </w:pPr>
            <w:r w:rsidRPr="006258E5">
              <w:rPr>
                <w:sz w:val="18"/>
                <w:szCs w:val="18"/>
                <w:lang w:val="ro-RO"/>
              </w:rPr>
              <w:t>6</w:t>
            </w:r>
          </w:p>
        </w:tc>
        <w:tc>
          <w:tcPr>
            <w:tcW w:w="1141" w:type="dxa"/>
          </w:tcPr>
          <w:p w14:paraId="5A79A6BB" w14:textId="77777777" w:rsidR="005B34CB" w:rsidRPr="006258E5" w:rsidRDefault="005B34CB" w:rsidP="005B34CB">
            <w:pPr>
              <w:spacing w:line="340" w:lineRule="atLeast"/>
              <w:jc w:val="center"/>
              <w:rPr>
                <w:sz w:val="18"/>
                <w:szCs w:val="18"/>
                <w:lang w:val="ro-RO"/>
              </w:rPr>
            </w:pPr>
            <w:r w:rsidRPr="006258E5">
              <w:rPr>
                <w:sz w:val="18"/>
                <w:szCs w:val="18"/>
                <w:lang w:val="ro-RO"/>
              </w:rPr>
              <w:t>7</w:t>
            </w:r>
          </w:p>
        </w:tc>
      </w:tr>
      <w:tr w:rsidR="005B34CB" w:rsidRPr="006258E5" w14:paraId="0041B6BE" w14:textId="77777777" w:rsidTr="60891C03">
        <w:tc>
          <w:tcPr>
            <w:tcW w:w="4410" w:type="dxa"/>
            <w:gridSpan w:val="2"/>
          </w:tcPr>
          <w:p w14:paraId="4136C82C" w14:textId="77777777" w:rsidR="005B34CB" w:rsidRPr="006258E5" w:rsidRDefault="005B34CB" w:rsidP="005B34CB">
            <w:pPr>
              <w:spacing w:line="340" w:lineRule="atLeast"/>
              <w:jc w:val="center"/>
              <w:rPr>
                <w:sz w:val="18"/>
                <w:szCs w:val="18"/>
                <w:lang w:val="ro-RO"/>
              </w:rPr>
            </w:pPr>
          </w:p>
        </w:tc>
        <w:tc>
          <w:tcPr>
            <w:tcW w:w="990" w:type="dxa"/>
            <w:gridSpan w:val="2"/>
          </w:tcPr>
          <w:p w14:paraId="6DAA2A15" w14:textId="673B5E27" w:rsidR="005B34CB" w:rsidRPr="006258E5" w:rsidRDefault="005B34CB" w:rsidP="005B34CB">
            <w:pPr>
              <w:spacing w:line="340" w:lineRule="atLeast"/>
              <w:jc w:val="center"/>
              <w:rPr>
                <w:sz w:val="18"/>
                <w:szCs w:val="18"/>
                <w:lang w:val="ro-RO"/>
              </w:rPr>
            </w:pPr>
            <w:r w:rsidRPr="006258E5">
              <w:rPr>
                <w:sz w:val="18"/>
                <w:szCs w:val="18"/>
                <w:lang w:val="ro-RO"/>
              </w:rPr>
              <w:t>202</w:t>
            </w:r>
            <w:r w:rsidR="008C343B">
              <w:rPr>
                <w:sz w:val="18"/>
                <w:szCs w:val="18"/>
                <w:lang w:val="ro-RO"/>
              </w:rPr>
              <w:t>2</w:t>
            </w:r>
          </w:p>
        </w:tc>
        <w:tc>
          <w:tcPr>
            <w:tcW w:w="810" w:type="dxa"/>
          </w:tcPr>
          <w:p w14:paraId="341D4943" w14:textId="3E62D293" w:rsidR="005B34CB" w:rsidRPr="006258E5" w:rsidRDefault="005B34CB" w:rsidP="005B34CB">
            <w:pPr>
              <w:spacing w:line="340" w:lineRule="atLeast"/>
              <w:jc w:val="center"/>
              <w:rPr>
                <w:sz w:val="18"/>
                <w:szCs w:val="18"/>
                <w:lang w:val="ro-RO"/>
              </w:rPr>
            </w:pPr>
            <w:r w:rsidRPr="006258E5">
              <w:rPr>
                <w:sz w:val="18"/>
                <w:szCs w:val="18"/>
                <w:lang w:val="ro-RO"/>
              </w:rPr>
              <w:t>202</w:t>
            </w:r>
            <w:r w:rsidR="008C343B">
              <w:rPr>
                <w:sz w:val="18"/>
                <w:szCs w:val="18"/>
                <w:lang w:val="ro-RO"/>
              </w:rPr>
              <w:t>3</w:t>
            </w:r>
          </w:p>
        </w:tc>
        <w:tc>
          <w:tcPr>
            <w:tcW w:w="900" w:type="dxa"/>
          </w:tcPr>
          <w:p w14:paraId="62905CE4" w14:textId="4421ABAD" w:rsidR="005B34CB" w:rsidRPr="006258E5" w:rsidRDefault="005B34CB" w:rsidP="005B34CB">
            <w:pPr>
              <w:spacing w:line="340" w:lineRule="atLeast"/>
              <w:jc w:val="center"/>
              <w:rPr>
                <w:sz w:val="18"/>
                <w:szCs w:val="18"/>
                <w:lang w:val="ro-RO"/>
              </w:rPr>
            </w:pPr>
            <w:r w:rsidRPr="006258E5">
              <w:rPr>
                <w:sz w:val="18"/>
                <w:szCs w:val="18"/>
                <w:lang w:val="ro-RO"/>
              </w:rPr>
              <w:t>202</w:t>
            </w:r>
            <w:r w:rsidR="008C343B">
              <w:rPr>
                <w:sz w:val="18"/>
                <w:szCs w:val="18"/>
                <w:lang w:val="ro-RO"/>
              </w:rPr>
              <w:t>4</w:t>
            </w:r>
          </w:p>
        </w:tc>
        <w:tc>
          <w:tcPr>
            <w:tcW w:w="810" w:type="dxa"/>
          </w:tcPr>
          <w:p w14:paraId="57487097" w14:textId="28E4DBE3" w:rsidR="005B34CB" w:rsidRPr="006258E5" w:rsidRDefault="005B34CB" w:rsidP="005B34CB">
            <w:pPr>
              <w:spacing w:line="340" w:lineRule="atLeast"/>
              <w:jc w:val="center"/>
              <w:rPr>
                <w:sz w:val="18"/>
                <w:szCs w:val="18"/>
                <w:lang w:val="ro-RO"/>
              </w:rPr>
            </w:pPr>
            <w:r w:rsidRPr="006258E5">
              <w:rPr>
                <w:sz w:val="18"/>
                <w:szCs w:val="18"/>
                <w:lang w:val="ro-RO"/>
              </w:rPr>
              <w:t>202</w:t>
            </w:r>
            <w:r w:rsidR="008C343B">
              <w:rPr>
                <w:sz w:val="18"/>
                <w:szCs w:val="18"/>
                <w:lang w:val="ro-RO"/>
              </w:rPr>
              <w:t>5</w:t>
            </w:r>
          </w:p>
        </w:tc>
        <w:tc>
          <w:tcPr>
            <w:tcW w:w="810" w:type="dxa"/>
          </w:tcPr>
          <w:p w14:paraId="111441ED" w14:textId="63028294" w:rsidR="005B34CB" w:rsidRPr="006258E5" w:rsidRDefault="005B34CB" w:rsidP="005B34CB">
            <w:pPr>
              <w:spacing w:line="340" w:lineRule="atLeast"/>
              <w:jc w:val="center"/>
              <w:rPr>
                <w:sz w:val="18"/>
                <w:szCs w:val="18"/>
                <w:lang w:val="ro-RO"/>
              </w:rPr>
            </w:pPr>
            <w:r w:rsidRPr="006258E5">
              <w:rPr>
                <w:sz w:val="18"/>
                <w:szCs w:val="18"/>
                <w:lang w:val="ro-RO"/>
              </w:rPr>
              <w:t>202</w:t>
            </w:r>
            <w:r w:rsidR="008C343B">
              <w:rPr>
                <w:sz w:val="18"/>
                <w:szCs w:val="18"/>
                <w:lang w:val="ro-RO"/>
              </w:rPr>
              <w:t>6</w:t>
            </w:r>
          </w:p>
        </w:tc>
        <w:tc>
          <w:tcPr>
            <w:tcW w:w="1141" w:type="dxa"/>
          </w:tcPr>
          <w:p w14:paraId="5131D83F" w14:textId="77777777" w:rsidR="005B34CB" w:rsidRPr="006258E5" w:rsidRDefault="005B34CB" w:rsidP="005B34CB">
            <w:pPr>
              <w:spacing w:line="340" w:lineRule="atLeast"/>
              <w:rPr>
                <w:sz w:val="18"/>
                <w:szCs w:val="18"/>
                <w:lang w:val="ro-RO"/>
              </w:rPr>
            </w:pPr>
          </w:p>
        </w:tc>
      </w:tr>
      <w:tr w:rsidR="005B34CB" w:rsidRPr="006258E5" w14:paraId="2765FCB1" w14:textId="77777777" w:rsidTr="60891C03">
        <w:tc>
          <w:tcPr>
            <w:tcW w:w="4410" w:type="dxa"/>
            <w:gridSpan w:val="2"/>
          </w:tcPr>
          <w:p w14:paraId="740C3FEE" w14:textId="77777777" w:rsidR="005B34CB" w:rsidRPr="006258E5" w:rsidRDefault="005B34CB" w:rsidP="005B34CB">
            <w:pPr>
              <w:spacing w:line="340" w:lineRule="atLeast"/>
              <w:jc w:val="center"/>
              <w:rPr>
                <w:sz w:val="18"/>
                <w:szCs w:val="18"/>
                <w:lang w:val="ro-RO"/>
              </w:rPr>
            </w:pPr>
          </w:p>
        </w:tc>
        <w:tc>
          <w:tcPr>
            <w:tcW w:w="990" w:type="dxa"/>
            <w:gridSpan w:val="2"/>
          </w:tcPr>
          <w:p w14:paraId="14FD9469" w14:textId="77777777" w:rsidR="005B34CB" w:rsidRPr="006258E5" w:rsidRDefault="005B34CB" w:rsidP="005B34CB">
            <w:pPr>
              <w:spacing w:line="340" w:lineRule="atLeast"/>
              <w:jc w:val="center"/>
              <w:rPr>
                <w:sz w:val="18"/>
                <w:szCs w:val="18"/>
                <w:lang w:val="ro-RO"/>
              </w:rPr>
            </w:pPr>
          </w:p>
        </w:tc>
        <w:tc>
          <w:tcPr>
            <w:tcW w:w="810" w:type="dxa"/>
          </w:tcPr>
          <w:p w14:paraId="5F334740" w14:textId="77777777" w:rsidR="005B34CB" w:rsidRPr="006258E5" w:rsidRDefault="005B34CB" w:rsidP="005B34CB">
            <w:pPr>
              <w:spacing w:line="340" w:lineRule="atLeast"/>
              <w:rPr>
                <w:sz w:val="18"/>
                <w:szCs w:val="18"/>
                <w:lang w:val="ro-RO"/>
              </w:rPr>
            </w:pPr>
          </w:p>
        </w:tc>
        <w:tc>
          <w:tcPr>
            <w:tcW w:w="900" w:type="dxa"/>
          </w:tcPr>
          <w:p w14:paraId="4D414A8D" w14:textId="77777777" w:rsidR="005B34CB" w:rsidRPr="006258E5" w:rsidRDefault="005B34CB" w:rsidP="005B34CB">
            <w:pPr>
              <w:spacing w:line="340" w:lineRule="atLeast"/>
              <w:jc w:val="center"/>
              <w:rPr>
                <w:sz w:val="18"/>
                <w:szCs w:val="18"/>
                <w:lang w:val="ro-RO"/>
              </w:rPr>
            </w:pPr>
          </w:p>
        </w:tc>
        <w:tc>
          <w:tcPr>
            <w:tcW w:w="810" w:type="dxa"/>
          </w:tcPr>
          <w:p w14:paraId="5CD5D711" w14:textId="77777777" w:rsidR="005B34CB" w:rsidRPr="006258E5" w:rsidRDefault="005B34CB" w:rsidP="005B34CB">
            <w:pPr>
              <w:spacing w:line="340" w:lineRule="atLeast"/>
              <w:jc w:val="center"/>
              <w:rPr>
                <w:sz w:val="18"/>
                <w:szCs w:val="18"/>
                <w:lang w:val="ro-RO"/>
              </w:rPr>
            </w:pPr>
          </w:p>
        </w:tc>
        <w:tc>
          <w:tcPr>
            <w:tcW w:w="810" w:type="dxa"/>
          </w:tcPr>
          <w:p w14:paraId="12A88AD5" w14:textId="77777777" w:rsidR="005B34CB" w:rsidRPr="006258E5" w:rsidRDefault="005B34CB" w:rsidP="005B34CB">
            <w:pPr>
              <w:spacing w:line="340" w:lineRule="atLeast"/>
              <w:jc w:val="center"/>
              <w:rPr>
                <w:sz w:val="18"/>
                <w:szCs w:val="18"/>
                <w:lang w:val="ro-RO"/>
              </w:rPr>
            </w:pPr>
          </w:p>
        </w:tc>
        <w:tc>
          <w:tcPr>
            <w:tcW w:w="1141" w:type="dxa"/>
          </w:tcPr>
          <w:p w14:paraId="66E2D72E" w14:textId="77777777" w:rsidR="005B34CB" w:rsidRPr="006258E5" w:rsidRDefault="005B34CB" w:rsidP="005B34CB">
            <w:pPr>
              <w:spacing w:line="340" w:lineRule="atLeast"/>
              <w:rPr>
                <w:sz w:val="18"/>
                <w:szCs w:val="18"/>
                <w:lang w:val="ro-RO"/>
              </w:rPr>
            </w:pPr>
          </w:p>
        </w:tc>
      </w:tr>
      <w:tr w:rsidR="005B34CB" w:rsidRPr="006258E5" w14:paraId="03F9B424" w14:textId="77777777" w:rsidTr="60891C03">
        <w:trPr>
          <w:trHeight w:val="350"/>
        </w:trPr>
        <w:tc>
          <w:tcPr>
            <w:tcW w:w="4410" w:type="dxa"/>
            <w:gridSpan w:val="2"/>
          </w:tcPr>
          <w:p w14:paraId="0E9BEB3E" w14:textId="77777777" w:rsidR="005B34CB" w:rsidRPr="006258E5" w:rsidRDefault="005B34CB" w:rsidP="005B34CB">
            <w:pPr>
              <w:spacing w:line="340" w:lineRule="atLeast"/>
              <w:jc w:val="both"/>
              <w:rPr>
                <w:b/>
                <w:sz w:val="18"/>
                <w:szCs w:val="18"/>
                <w:lang w:val="ro-RO"/>
              </w:rPr>
            </w:pPr>
            <w:r w:rsidRPr="006258E5">
              <w:rPr>
                <w:b/>
                <w:sz w:val="18"/>
                <w:szCs w:val="18"/>
                <w:lang w:val="ro-RO"/>
              </w:rPr>
              <w:t>1. Modificări ale veniturilor bugetare, plus/minus, din care:</w:t>
            </w:r>
          </w:p>
          <w:p w14:paraId="0E9C744E" w14:textId="77777777" w:rsidR="005B34CB" w:rsidRPr="006258E5" w:rsidRDefault="005B34CB" w:rsidP="005B34CB">
            <w:pPr>
              <w:numPr>
                <w:ilvl w:val="0"/>
                <w:numId w:val="2"/>
              </w:numPr>
              <w:spacing w:line="340" w:lineRule="atLeast"/>
              <w:jc w:val="both"/>
              <w:rPr>
                <w:sz w:val="18"/>
                <w:szCs w:val="18"/>
                <w:lang w:val="ro-RO"/>
              </w:rPr>
            </w:pPr>
            <w:r w:rsidRPr="006258E5">
              <w:rPr>
                <w:sz w:val="18"/>
                <w:szCs w:val="18"/>
                <w:lang w:val="ro-RO"/>
              </w:rPr>
              <w:t>buget de stat, din acesta:</w:t>
            </w:r>
          </w:p>
          <w:p w14:paraId="23269274" w14:textId="77777777" w:rsidR="005B34CB" w:rsidRPr="006258E5" w:rsidRDefault="005B34CB" w:rsidP="005B34CB">
            <w:pPr>
              <w:numPr>
                <w:ilvl w:val="0"/>
                <w:numId w:val="3"/>
              </w:numPr>
              <w:tabs>
                <w:tab w:val="clear" w:pos="1080"/>
                <w:tab w:val="left" w:pos="720"/>
                <w:tab w:val="num" w:pos="900"/>
              </w:tabs>
              <w:spacing w:line="340" w:lineRule="atLeast"/>
              <w:ind w:left="360" w:firstLine="0"/>
              <w:jc w:val="both"/>
              <w:rPr>
                <w:sz w:val="18"/>
                <w:szCs w:val="18"/>
                <w:lang w:val="ro-RO"/>
              </w:rPr>
            </w:pPr>
            <w:r w:rsidRPr="006258E5">
              <w:rPr>
                <w:sz w:val="18"/>
                <w:szCs w:val="18"/>
                <w:lang w:val="ro-RO"/>
              </w:rPr>
              <w:t>impozit pe profit</w:t>
            </w:r>
          </w:p>
          <w:p w14:paraId="19CD35DF" w14:textId="77777777" w:rsidR="005B34CB" w:rsidRPr="006258E5" w:rsidRDefault="005B34CB" w:rsidP="005B34CB">
            <w:pPr>
              <w:numPr>
                <w:ilvl w:val="0"/>
                <w:numId w:val="3"/>
              </w:numPr>
              <w:tabs>
                <w:tab w:val="clear" w:pos="1080"/>
                <w:tab w:val="left" w:pos="720"/>
                <w:tab w:val="num" w:pos="900"/>
              </w:tabs>
              <w:spacing w:line="340" w:lineRule="atLeast"/>
              <w:jc w:val="both"/>
              <w:rPr>
                <w:sz w:val="18"/>
                <w:szCs w:val="18"/>
                <w:lang w:val="ro-RO"/>
              </w:rPr>
            </w:pPr>
            <w:r w:rsidRPr="006258E5">
              <w:rPr>
                <w:sz w:val="18"/>
                <w:szCs w:val="18"/>
                <w:lang w:val="ro-RO"/>
              </w:rPr>
              <w:t>impozit pe venit</w:t>
            </w:r>
          </w:p>
          <w:p w14:paraId="70987BA8" w14:textId="77777777" w:rsidR="005B34CB" w:rsidRPr="006258E5" w:rsidRDefault="005B34CB" w:rsidP="005B34CB">
            <w:pPr>
              <w:numPr>
                <w:ilvl w:val="0"/>
                <w:numId w:val="2"/>
              </w:numPr>
              <w:tabs>
                <w:tab w:val="left" w:pos="720"/>
              </w:tabs>
              <w:spacing w:line="340" w:lineRule="atLeast"/>
              <w:jc w:val="both"/>
              <w:rPr>
                <w:sz w:val="18"/>
                <w:szCs w:val="18"/>
                <w:lang w:val="ro-RO"/>
              </w:rPr>
            </w:pPr>
            <w:r w:rsidRPr="006258E5">
              <w:rPr>
                <w:sz w:val="18"/>
                <w:szCs w:val="18"/>
                <w:lang w:val="ro-RO"/>
              </w:rPr>
              <w:t>bugete locale:</w:t>
            </w:r>
          </w:p>
          <w:p w14:paraId="24CCDF75" w14:textId="77777777" w:rsidR="005B34CB" w:rsidRPr="006258E5" w:rsidRDefault="005B34CB" w:rsidP="005B34CB">
            <w:pPr>
              <w:numPr>
                <w:ilvl w:val="0"/>
                <w:numId w:val="4"/>
              </w:numPr>
              <w:tabs>
                <w:tab w:val="clear" w:pos="1080"/>
                <w:tab w:val="left" w:pos="720"/>
                <w:tab w:val="num" w:pos="900"/>
              </w:tabs>
              <w:spacing w:line="340" w:lineRule="atLeast"/>
              <w:jc w:val="both"/>
              <w:rPr>
                <w:sz w:val="18"/>
                <w:szCs w:val="18"/>
                <w:lang w:val="ro-RO"/>
              </w:rPr>
            </w:pPr>
            <w:r w:rsidRPr="006258E5">
              <w:rPr>
                <w:sz w:val="18"/>
                <w:szCs w:val="18"/>
                <w:lang w:val="ro-RO"/>
              </w:rPr>
              <w:t>impozit pe profit</w:t>
            </w:r>
          </w:p>
          <w:p w14:paraId="62A5560E" w14:textId="77777777" w:rsidR="005B34CB" w:rsidRPr="006258E5" w:rsidRDefault="005B34CB" w:rsidP="005B34CB">
            <w:pPr>
              <w:numPr>
                <w:ilvl w:val="0"/>
                <w:numId w:val="2"/>
              </w:numPr>
              <w:tabs>
                <w:tab w:val="clear" w:pos="360"/>
                <w:tab w:val="left" w:pos="273"/>
              </w:tabs>
              <w:spacing w:line="340" w:lineRule="atLeast"/>
              <w:ind w:left="0" w:firstLine="0"/>
              <w:jc w:val="both"/>
              <w:rPr>
                <w:sz w:val="18"/>
                <w:szCs w:val="18"/>
                <w:lang w:val="ro-RO"/>
              </w:rPr>
            </w:pPr>
            <w:r w:rsidRPr="006258E5">
              <w:rPr>
                <w:sz w:val="18"/>
                <w:szCs w:val="18"/>
                <w:lang w:val="ro-RO"/>
              </w:rPr>
              <w:t>bugetul asigurărilor sociale de stat:</w:t>
            </w:r>
          </w:p>
          <w:p w14:paraId="7BE34D05" w14:textId="77777777" w:rsidR="005B34CB" w:rsidRPr="006258E5" w:rsidRDefault="005B34CB" w:rsidP="005B34CB">
            <w:pPr>
              <w:numPr>
                <w:ilvl w:val="0"/>
                <w:numId w:val="5"/>
              </w:numPr>
              <w:tabs>
                <w:tab w:val="clear" w:pos="1080"/>
                <w:tab w:val="left" w:pos="720"/>
                <w:tab w:val="num" w:pos="900"/>
              </w:tabs>
              <w:spacing w:line="340" w:lineRule="atLeast"/>
              <w:jc w:val="both"/>
              <w:rPr>
                <w:sz w:val="18"/>
                <w:szCs w:val="18"/>
                <w:lang w:val="ro-RO"/>
              </w:rPr>
            </w:pPr>
            <w:r w:rsidRPr="006258E5">
              <w:rPr>
                <w:sz w:val="18"/>
                <w:szCs w:val="18"/>
                <w:lang w:val="ro-RO"/>
              </w:rPr>
              <w:t>contribuţii de asigurări</w:t>
            </w:r>
          </w:p>
        </w:tc>
        <w:tc>
          <w:tcPr>
            <w:tcW w:w="5461" w:type="dxa"/>
            <w:gridSpan w:val="7"/>
          </w:tcPr>
          <w:p w14:paraId="77D85FB2" w14:textId="5A297E49" w:rsidR="00CC0891" w:rsidRPr="006258E5" w:rsidRDefault="004D70AE" w:rsidP="00CC0891">
            <w:pPr>
              <w:spacing w:line="340" w:lineRule="atLeast"/>
              <w:jc w:val="both"/>
              <w:rPr>
                <w:sz w:val="18"/>
                <w:szCs w:val="18"/>
                <w:lang w:val="ro-RO"/>
              </w:rPr>
            </w:pPr>
            <w:r w:rsidRPr="006258E5">
              <w:rPr>
                <w:sz w:val="18"/>
                <w:szCs w:val="18"/>
                <w:lang w:val="ro-RO"/>
              </w:rPr>
              <w:t>Conform studiului „</w:t>
            </w:r>
            <w:r w:rsidR="001B7DA6" w:rsidRPr="006258E5">
              <w:rPr>
                <w:sz w:val="18"/>
                <w:szCs w:val="18"/>
                <w:lang w:val="ro-RO"/>
              </w:rPr>
              <w:t>Contribuția proiectelor de explorare și producție a hidrocarburilor din Marea Neagră la dezvoltarea economiei românești</w:t>
            </w:r>
            <w:r w:rsidRPr="006258E5">
              <w:rPr>
                <w:sz w:val="18"/>
                <w:szCs w:val="18"/>
                <w:lang w:val="ro-RO"/>
              </w:rPr>
              <w:t>” realizat de compania de consultanţă Deloitte în luna mai 2018,</w:t>
            </w:r>
            <w:r w:rsidR="008D1C5B" w:rsidRPr="006258E5">
              <w:rPr>
                <w:sz w:val="18"/>
                <w:szCs w:val="18"/>
                <w:lang w:val="ro-RO"/>
              </w:rPr>
              <w:t xml:space="preserve"> dezvoltarea proiectelor upstream offshore de </w:t>
            </w:r>
            <w:r w:rsidR="002E33CA" w:rsidRPr="006258E5">
              <w:rPr>
                <w:sz w:val="18"/>
                <w:szCs w:val="18"/>
                <w:lang w:val="ro-RO"/>
              </w:rPr>
              <w:t>gaze naturale poate aduce</w:t>
            </w:r>
            <w:r w:rsidR="00FF49EB" w:rsidRPr="006258E5">
              <w:rPr>
                <w:sz w:val="18"/>
                <w:szCs w:val="18"/>
                <w:lang w:val="ro-RO"/>
              </w:rPr>
              <w:t xml:space="preserve"> pe perioada derulării lor </w:t>
            </w:r>
            <w:r w:rsidR="00FF49EB" w:rsidRPr="006258E5">
              <w:rPr>
                <w:sz w:val="18"/>
                <w:szCs w:val="18"/>
                <w:lang w:val="en-US"/>
              </w:rPr>
              <w:t>(orizont 23 ani)</w:t>
            </w:r>
            <w:r w:rsidR="00FF49EB" w:rsidRPr="006258E5">
              <w:rPr>
                <w:sz w:val="18"/>
                <w:szCs w:val="18"/>
                <w:lang w:val="ro-RO"/>
              </w:rPr>
              <w:t>,v</w:t>
            </w:r>
            <w:r w:rsidR="00CC0891" w:rsidRPr="006258E5">
              <w:rPr>
                <w:sz w:val="18"/>
                <w:szCs w:val="18"/>
                <w:lang w:val="ro-RO"/>
              </w:rPr>
              <w:t>enituri totale la bugetul de stat, în valoare de 26,0 mld. USD, media anuală fiind de 1,13 mld.USD</w:t>
            </w:r>
            <w:r w:rsidR="0046348C" w:rsidRPr="006258E5">
              <w:rPr>
                <w:sz w:val="18"/>
                <w:szCs w:val="18"/>
                <w:lang w:val="ro-RO"/>
              </w:rPr>
              <w:t xml:space="preserve">, generează suplimentar </w:t>
            </w:r>
            <w:r w:rsidR="00323F2E" w:rsidRPr="006258E5">
              <w:rPr>
                <w:sz w:val="18"/>
                <w:szCs w:val="18"/>
                <w:lang w:val="ro-RO"/>
              </w:rPr>
              <w:t xml:space="preserve">71,3 mld. USD în PIB-ul României și creează și/sau menține </w:t>
            </w:r>
            <w:r w:rsidR="002A4A05" w:rsidRPr="006258E5">
              <w:rPr>
                <w:sz w:val="18"/>
                <w:szCs w:val="18"/>
                <w:lang w:val="ro-RO"/>
              </w:rPr>
              <w:t xml:space="preserve">în medie </w:t>
            </w:r>
            <w:r w:rsidR="000A6830" w:rsidRPr="006258E5">
              <w:rPr>
                <w:sz w:val="18"/>
                <w:szCs w:val="18"/>
                <w:lang w:val="ro-RO"/>
              </w:rPr>
              <w:t xml:space="preserve">peste </w:t>
            </w:r>
            <w:r w:rsidR="006144B1" w:rsidRPr="006258E5">
              <w:rPr>
                <w:sz w:val="18"/>
                <w:szCs w:val="18"/>
                <w:lang w:val="ro-RO"/>
              </w:rPr>
              <w:t>30</w:t>
            </w:r>
            <w:r w:rsidR="000A6830" w:rsidRPr="006258E5">
              <w:rPr>
                <w:sz w:val="18"/>
                <w:szCs w:val="18"/>
                <w:lang w:val="ro-RO"/>
              </w:rPr>
              <w:t xml:space="preserve"> de mii</w:t>
            </w:r>
            <w:r w:rsidR="00323F2E" w:rsidRPr="006258E5">
              <w:rPr>
                <w:sz w:val="18"/>
                <w:szCs w:val="18"/>
                <w:lang w:val="ro-RO"/>
              </w:rPr>
              <w:t xml:space="preserve"> de locuri de muncă anual în România pe întreaga perioadă</w:t>
            </w:r>
            <w:r w:rsidR="006144B1" w:rsidRPr="006258E5">
              <w:rPr>
                <w:sz w:val="18"/>
                <w:szCs w:val="18"/>
                <w:lang w:val="ro-RO"/>
              </w:rPr>
              <w:t>.</w:t>
            </w:r>
          </w:p>
          <w:p w14:paraId="29D5DB66" w14:textId="4E656DCA" w:rsidR="005B34CB" w:rsidRPr="006258E5" w:rsidRDefault="00B06F90" w:rsidP="005B34CB">
            <w:pPr>
              <w:spacing w:line="340" w:lineRule="atLeast"/>
              <w:jc w:val="both"/>
              <w:rPr>
                <w:sz w:val="18"/>
                <w:szCs w:val="18"/>
                <w:lang w:val="ro-RO"/>
              </w:rPr>
            </w:pPr>
            <w:r w:rsidRPr="006258E5">
              <w:rPr>
                <w:sz w:val="18"/>
                <w:szCs w:val="18"/>
                <w:lang w:val="ro-RO"/>
              </w:rPr>
              <w:t xml:space="preserve">Estimările rezultate arată că fiecare mld. USD investit în activități offshore de țiței și gaze naturale în România generează suplimentar 3 mld. USD în PIB-ul României în următorii 23 ani. Mai mult, contribuie direct </w:t>
            </w:r>
            <w:r w:rsidR="004352C4" w:rsidRPr="006258E5">
              <w:rPr>
                <w:sz w:val="18"/>
                <w:szCs w:val="18"/>
                <w:lang w:val="ro-RO"/>
              </w:rPr>
              <w:t>şi</w:t>
            </w:r>
            <w:r w:rsidRPr="006258E5">
              <w:rPr>
                <w:sz w:val="18"/>
                <w:szCs w:val="18"/>
                <w:lang w:val="ro-RO"/>
              </w:rPr>
              <w:t xml:space="preserve"> indirect cu venituri de 1,9 mld. USD la bugetul de stat și creează și/sau menține în medie 2.198 de locuri de muncă anual în România pe întreaga perioadă (2018-2040).</w:t>
            </w:r>
          </w:p>
          <w:p w14:paraId="10BE7275" w14:textId="77777777" w:rsidR="00C853F3" w:rsidRPr="006258E5" w:rsidRDefault="00C853F3" w:rsidP="005B34CB">
            <w:pPr>
              <w:spacing w:line="340" w:lineRule="atLeast"/>
              <w:jc w:val="both"/>
              <w:rPr>
                <w:sz w:val="18"/>
                <w:szCs w:val="18"/>
                <w:lang w:val="ro-RO"/>
              </w:rPr>
            </w:pPr>
            <w:r w:rsidRPr="006258E5">
              <w:rPr>
                <w:sz w:val="18"/>
                <w:szCs w:val="18"/>
                <w:lang w:val="ro-RO"/>
              </w:rPr>
              <w:t>Efectul dezvoltării cu succes a proiectelor upstream offshore s-ar propaga, de asemenea, în sectoarele conexe (de exemplu, transportul și distribuția de gaze naturale) dar și în alte industrii (de exemplu, industria chimică, petrochimică și producția energiei electrice pe bază de gaze naturale), unde investiții de aproape 9 mld. USD ar fi posibile în urma surplusului de gaze și competitivității economice astfel create. La rândul lor, aceste investiții ar conduce la înființarea și menținerea a cca. 42.000 de locuri de muncă până în 2040, la un impact cumulat estimat de 18,3 mld. USD asupra veniturilor la bugetul de stat, precum și la un surplus cumulat de aproape 99 mld. USD în producția națională de bunuri și servicii între 2020 și 2040,</w:t>
            </w:r>
          </w:p>
          <w:p w14:paraId="435031AC" w14:textId="77777777" w:rsidR="00DB06D6" w:rsidRPr="006258E5" w:rsidRDefault="00DB06D6" w:rsidP="00DB06D6">
            <w:pPr>
              <w:spacing w:line="340" w:lineRule="atLeast"/>
              <w:jc w:val="both"/>
              <w:rPr>
                <w:sz w:val="18"/>
                <w:szCs w:val="18"/>
                <w:lang w:val="ro-RO"/>
              </w:rPr>
            </w:pPr>
            <w:r w:rsidRPr="006258E5">
              <w:rPr>
                <w:sz w:val="18"/>
                <w:szCs w:val="18"/>
                <w:lang w:val="ro-RO"/>
              </w:rPr>
              <w:t xml:space="preserve">Trebuie remarcat faptul că aceste beneficii ar putea fi obținute fără nicio nouă cheltuială publică directă. Dimpotrivă, o creștere a producției ar suplimenta veniturile la bugetul public național, fără a genera cheltuieli </w:t>
            </w:r>
            <w:r w:rsidRPr="006258E5">
              <w:rPr>
                <w:sz w:val="18"/>
                <w:szCs w:val="18"/>
                <w:lang w:val="ro-RO"/>
              </w:rPr>
              <w:lastRenderedPageBreak/>
              <w:t>suplimentare pentru statul român. Beneficiile unui astfel de stimulent ar trebui, prin urmare, să fie atractive în scopul recuperării decalajului față de țările UE mai bine dezvoltate.</w:t>
            </w:r>
          </w:p>
          <w:p w14:paraId="3F176610" w14:textId="768E75DD" w:rsidR="00DB06D6" w:rsidRPr="006258E5" w:rsidRDefault="00DB06D6" w:rsidP="00DB06D6">
            <w:pPr>
              <w:spacing w:line="340" w:lineRule="atLeast"/>
              <w:jc w:val="both"/>
              <w:rPr>
                <w:sz w:val="18"/>
                <w:szCs w:val="18"/>
                <w:lang w:val="ro-RO"/>
              </w:rPr>
            </w:pPr>
            <w:r w:rsidRPr="006258E5">
              <w:rPr>
                <w:sz w:val="18"/>
                <w:szCs w:val="18"/>
                <w:lang w:val="ro-RO"/>
              </w:rPr>
              <w:t>În plus, aceste resurse suplimentare de gaze naturale, devenind comercial viabile, ar contribui la asigurarea aprovizionării sustenabile a României cu energie, la atingerea țintelor de decarbonizare pe termen lung, precum și la dezvoltarea infrastructurii naționale, sau a altor industrii cu valoare adăugată mare, cum ar fi chimia și petrochimia.</w:t>
            </w:r>
          </w:p>
          <w:p w14:paraId="014D0D09" w14:textId="7539A261" w:rsidR="005B34CB" w:rsidRPr="006258E5" w:rsidRDefault="005B34CB" w:rsidP="005B34CB">
            <w:pPr>
              <w:spacing w:line="340" w:lineRule="atLeast"/>
              <w:jc w:val="both"/>
              <w:rPr>
                <w:sz w:val="18"/>
                <w:szCs w:val="18"/>
                <w:lang w:val="ro-RO"/>
              </w:rPr>
            </w:pPr>
          </w:p>
        </w:tc>
      </w:tr>
      <w:tr w:rsidR="005B34CB" w:rsidRPr="006258E5" w14:paraId="7E48E89B" w14:textId="77777777" w:rsidTr="60891C03">
        <w:tc>
          <w:tcPr>
            <w:tcW w:w="4410" w:type="dxa"/>
            <w:gridSpan w:val="2"/>
          </w:tcPr>
          <w:p w14:paraId="1D808074"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lastRenderedPageBreak/>
              <w:t>2. Modificări ale cheltuielilor bugetare plus/minus, din care:</w:t>
            </w:r>
          </w:p>
          <w:p w14:paraId="65CCAA07" w14:textId="77777777" w:rsidR="005B34CB" w:rsidRPr="006258E5" w:rsidRDefault="005B34CB" w:rsidP="005B34CB">
            <w:pPr>
              <w:numPr>
                <w:ilvl w:val="0"/>
                <w:numId w:val="6"/>
              </w:numPr>
              <w:spacing w:line="340" w:lineRule="atLeast"/>
              <w:jc w:val="both"/>
              <w:rPr>
                <w:sz w:val="18"/>
                <w:szCs w:val="18"/>
                <w:lang w:val="ro-RO"/>
              </w:rPr>
            </w:pPr>
            <w:r w:rsidRPr="006258E5">
              <w:rPr>
                <w:sz w:val="18"/>
                <w:szCs w:val="18"/>
                <w:lang w:val="ro-RO"/>
              </w:rPr>
              <w:t>buget de stat, din acesta:</w:t>
            </w:r>
          </w:p>
          <w:p w14:paraId="77A3BED2" w14:textId="77777777" w:rsidR="005B34CB" w:rsidRPr="006258E5" w:rsidRDefault="005B34CB" w:rsidP="005B34CB">
            <w:pPr>
              <w:numPr>
                <w:ilvl w:val="0"/>
                <w:numId w:val="7"/>
              </w:numPr>
              <w:tabs>
                <w:tab w:val="clear" w:pos="1080"/>
                <w:tab w:val="num" w:pos="720"/>
              </w:tabs>
              <w:autoSpaceDE w:val="0"/>
              <w:autoSpaceDN w:val="0"/>
              <w:adjustRightInd w:val="0"/>
              <w:spacing w:line="340" w:lineRule="atLeast"/>
              <w:rPr>
                <w:sz w:val="18"/>
                <w:szCs w:val="18"/>
                <w:lang w:val="ro-RO"/>
              </w:rPr>
            </w:pPr>
            <w:r w:rsidRPr="006258E5">
              <w:rPr>
                <w:sz w:val="18"/>
                <w:szCs w:val="18"/>
                <w:lang w:val="ro-RO"/>
              </w:rPr>
              <w:t>cheltuieli de personal</w:t>
            </w:r>
          </w:p>
          <w:p w14:paraId="5FDC7293" w14:textId="77777777" w:rsidR="005B34CB" w:rsidRPr="006258E5" w:rsidRDefault="005B34CB" w:rsidP="005B34CB">
            <w:pPr>
              <w:numPr>
                <w:ilvl w:val="0"/>
                <w:numId w:val="7"/>
              </w:numPr>
              <w:tabs>
                <w:tab w:val="clear" w:pos="1080"/>
                <w:tab w:val="num" w:pos="720"/>
              </w:tabs>
              <w:autoSpaceDE w:val="0"/>
              <w:autoSpaceDN w:val="0"/>
              <w:adjustRightInd w:val="0"/>
              <w:spacing w:line="340" w:lineRule="atLeast"/>
              <w:rPr>
                <w:sz w:val="18"/>
                <w:szCs w:val="18"/>
                <w:lang w:val="ro-RO"/>
              </w:rPr>
            </w:pPr>
            <w:r w:rsidRPr="006258E5">
              <w:rPr>
                <w:sz w:val="18"/>
                <w:szCs w:val="18"/>
                <w:lang w:val="ro-RO"/>
              </w:rPr>
              <w:t>bunuri şi servicii</w:t>
            </w:r>
          </w:p>
          <w:p w14:paraId="27246E03" w14:textId="77777777" w:rsidR="005B34CB" w:rsidRPr="006258E5" w:rsidRDefault="005B34CB" w:rsidP="005B34CB">
            <w:pPr>
              <w:numPr>
                <w:ilvl w:val="1"/>
                <w:numId w:val="7"/>
              </w:numPr>
              <w:tabs>
                <w:tab w:val="clear" w:pos="1800"/>
                <w:tab w:val="num" w:pos="0"/>
              </w:tabs>
              <w:autoSpaceDE w:val="0"/>
              <w:autoSpaceDN w:val="0"/>
              <w:adjustRightInd w:val="0"/>
              <w:spacing w:line="340" w:lineRule="atLeast"/>
              <w:ind w:left="360"/>
              <w:rPr>
                <w:sz w:val="18"/>
                <w:szCs w:val="18"/>
                <w:lang w:val="ro-RO"/>
              </w:rPr>
            </w:pPr>
            <w:r w:rsidRPr="006258E5">
              <w:rPr>
                <w:sz w:val="18"/>
                <w:szCs w:val="18"/>
                <w:lang w:val="ro-RO"/>
              </w:rPr>
              <w:t>bugete locale:</w:t>
            </w:r>
          </w:p>
          <w:p w14:paraId="3B9D1F30" w14:textId="77777777" w:rsidR="005B34CB" w:rsidRPr="006258E5" w:rsidRDefault="005B34CB" w:rsidP="005B34CB">
            <w:pPr>
              <w:numPr>
                <w:ilvl w:val="0"/>
                <w:numId w:val="8"/>
              </w:numPr>
              <w:tabs>
                <w:tab w:val="clear" w:pos="1080"/>
                <w:tab w:val="num" w:pos="720"/>
              </w:tabs>
              <w:autoSpaceDE w:val="0"/>
              <w:autoSpaceDN w:val="0"/>
              <w:adjustRightInd w:val="0"/>
              <w:spacing w:line="340" w:lineRule="atLeast"/>
              <w:rPr>
                <w:sz w:val="18"/>
                <w:szCs w:val="18"/>
                <w:lang w:val="ro-RO"/>
              </w:rPr>
            </w:pPr>
            <w:r w:rsidRPr="006258E5">
              <w:rPr>
                <w:sz w:val="18"/>
                <w:szCs w:val="18"/>
                <w:lang w:val="ro-RO"/>
              </w:rPr>
              <w:t>cheltuieli de personal</w:t>
            </w:r>
          </w:p>
          <w:p w14:paraId="15C253D3" w14:textId="77777777" w:rsidR="005B34CB" w:rsidRPr="006258E5" w:rsidRDefault="005B34CB" w:rsidP="005B34CB">
            <w:pPr>
              <w:numPr>
                <w:ilvl w:val="0"/>
                <w:numId w:val="8"/>
              </w:numPr>
              <w:tabs>
                <w:tab w:val="clear" w:pos="1080"/>
                <w:tab w:val="num" w:pos="720"/>
              </w:tabs>
              <w:autoSpaceDE w:val="0"/>
              <w:autoSpaceDN w:val="0"/>
              <w:adjustRightInd w:val="0"/>
              <w:spacing w:line="340" w:lineRule="atLeast"/>
              <w:rPr>
                <w:sz w:val="18"/>
                <w:szCs w:val="18"/>
                <w:lang w:val="ro-RO"/>
              </w:rPr>
            </w:pPr>
            <w:r w:rsidRPr="006258E5">
              <w:rPr>
                <w:sz w:val="18"/>
                <w:szCs w:val="18"/>
                <w:lang w:val="ro-RO"/>
              </w:rPr>
              <w:t>bunuri şi servicii</w:t>
            </w:r>
          </w:p>
          <w:p w14:paraId="5B1681E5" w14:textId="77777777" w:rsidR="005B34CB" w:rsidRPr="006258E5" w:rsidRDefault="005B34CB" w:rsidP="005B34CB">
            <w:pPr>
              <w:numPr>
                <w:ilvl w:val="1"/>
                <w:numId w:val="8"/>
              </w:numPr>
              <w:tabs>
                <w:tab w:val="clear" w:pos="1800"/>
                <w:tab w:val="num" w:pos="0"/>
                <w:tab w:val="left" w:pos="273"/>
              </w:tabs>
              <w:autoSpaceDE w:val="0"/>
              <w:autoSpaceDN w:val="0"/>
              <w:adjustRightInd w:val="0"/>
              <w:spacing w:line="340" w:lineRule="atLeast"/>
              <w:ind w:left="0" w:firstLine="0"/>
              <w:rPr>
                <w:sz w:val="18"/>
                <w:szCs w:val="18"/>
                <w:lang w:val="ro-RO"/>
              </w:rPr>
            </w:pPr>
            <w:r w:rsidRPr="006258E5">
              <w:rPr>
                <w:sz w:val="18"/>
                <w:szCs w:val="18"/>
                <w:lang w:val="ro-RO"/>
              </w:rPr>
              <w:t>bugetul asigurărilor sociale de stat:</w:t>
            </w:r>
          </w:p>
          <w:p w14:paraId="09820988" w14:textId="77777777" w:rsidR="005B34CB" w:rsidRPr="006258E5" w:rsidRDefault="005B34CB" w:rsidP="005B34CB">
            <w:pPr>
              <w:numPr>
                <w:ilvl w:val="2"/>
                <w:numId w:val="8"/>
              </w:numPr>
              <w:tabs>
                <w:tab w:val="clear" w:pos="3060"/>
                <w:tab w:val="num" w:pos="720"/>
              </w:tabs>
              <w:spacing w:line="340" w:lineRule="atLeast"/>
              <w:ind w:hanging="2700"/>
              <w:jc w:val="both"/>
              <w:rPr>
                <w:sz w:val="18"/>
                <w:szCs w:val="18"/>
                <w:lang w:val="ro-RO"/>
              </w:rPr>
            </w:pPr>
            <w:r w:rsidRPr="006258E5">
              <w:rPr>
                <w:sz w:val="18"/>
                <w:szCs w:val="18"/>
                <w:lang w:val="ro-RO"/>
              </w:rPr>
              <w:t>cheltuieli de personal</w:t>
            </w:r>
          </w:p>
          <w:p w14:paraId="5CB469FD" w14:textId="77777777" w:rsidR="005B34CB" w:rsidRPr="006258E5" w:rsidRDefault="005B34CB" w:rsidP="005B34CB">
            <w:pPr>
              <w:numPr>
                <w:ilvl w:val="2"/>
                <w:numId w:val="8"/>
              </w:numPr>
              <w:tabs>
                <w:tab w:val="clear" w:pos="3060"/>
                <w:tab w:val="num" w:pos="720"/>
              </w:tabs>
              <w:spacing w:line="340" w:lineRule="atLeast"/>
              <w:ind w:hanging="2700"/>
              <w:jc w:val="both"/>
              <w:rPr>
                <w:sz w:val="18"/>
                <w:szCs w:val="18"/>
                <w:lang w:val="ro-RO"/>
              </w:rPr>
            </w:pPr>
            <w:r w:rsidRPr="006258E5">
              <w:rPr>
                <w:sz w:val="18"/>
                <w:szCs w:val="18"/>
                <w:lang w:val="ro-RO"/>
              </w:rPr>
              <w:t xml:space="preserve"> bunuri şi servicii</w:t>
            </w:r>
          </w:p>
        </w:tc>
        <w:tc>
          <w:tcPr>
            <w:tcW w:w="5461" w:type="dxa"/>
            <w:gridSpan w:val="7"/>
          </w:tcPr>
          <w:p w14:paraId="105308F9" w14:textId="3E3682DA" w:rsidR="005B34CB" w:rsidRPr="006258E5" w:rsidRDefault="00C853F3" w:rsidP="005B34CB">
            <w:pPr>
              <w:spacing w:line="340" w:lineRule="atLeast"/>
              <w:jc w:val="both"/>
              <w:rPr>
                <w:sz w:val="18"/>
                <w:szCs w:val="18"/>
                <w:lang w:val="ro-RO"/>
              </w:rPr>
            </w:pPr>
            <w:r w:rsidRPr="006258E5">
              <w:rPr>
                <w:sz w:val="18"/>
                <w:szCs w:val="18"/>
                <w:lang w:val="ro-RO"/>
              </w:rPr>
              <w:t>Nu este cazul.</w:t>
            </w:r>
          </w:p>
          <w:p w14:paraId="3867A18A" w14:textId="77777777" w:rsidR="00C63B8E" w:rsidRPr="006258E5" w:rsidRDefault="007570BA" w:rsidP="005B34CB">
            <w:pPr>
              <w:spacing w:line="340" w:lineRule="atLeast"/>
              <w:rPr>
                <w:sz w:val="18"/>
                <w:szCs w:val="18"/>
                <w:lang w:val="ro-RO"/>
              </w:rPr>
            </w:pPr>
            <w:r w:rsidRPr="006258E5">
              <w:rPr>
                <w:sz w:val="18"/>
                <w:szCs w:val="18"/>
                <w:lang w:val="ro-RO"/>
              </w:rPr>
              <w:t xml:space="preserve">Dependența României de importurile de gaze naturale se poate majora semnificativ, ajungând la 53% în anul 2030, în condițiile nedezvoltării rezervelor din Marea Neagră și pe fondul declinului natural al producției onshore și creșterii consumului, ceea ce va genera un impact major asupra securității energetice. </w:t>
            </w:r>
          </w:p>
          <w:p w14:paraId="5C8BE7CF" w14:textId="75C59810" w:rsidR="005B34CB" w:rsidRPr="006258E5" w:rsidRDefault="007570BA" w:rsidP="005B34CB">
            <w:pPr>
              <w:spacing w:line="340" w:lineRule="atLeast"/>
              <w:rPr>
                <w:sz w:val="18"/>
                <w:szCs w:val="18"/>
                <w:lang w:val="ro-RO"/>
              </w:rPr>
            </w:pPr>
            <w:r w:rsidRPr="006258E5">
              <w:rPr>
                <w:sz w:val="18"/>
                <w:szCs w:val="18"/>
                <w:lang w:val="ro-RO"/>
              </w:rPr>
              <w:t>Menținerea unui grad redus de dependență de importuri este condiționată de dezvoltarea rezervelor de gaze naturale din Marea Neagră.</w:t>
            </w:r>
          </w:p>
        </w:tc>
      </w:tr>
      <w:tr w:rsidR="005B34CB" w:rsidRPr="006258E5" w14:paraId="017D9A93" w14:textId="77777777" w:rsidTr="60891C03">
        <w:tc>
          <w:tcPr>
            <w:tcW w:w="4410" w:type="dxa"/>
            <w:gridSpan w:val="2"/>
          </w:tcPr>
          <w:p w14:paraId="4E107E8A" w14:textId="77777777" w:rsidR="005B34CB" w:rsidRPr="006258E5" w:rsidRDefault="005B34CB" w:rsidP="005B34CB">
            <w:pPr>
              <w:autoSpaceDE w:val="0"/>
              <w:autoSpaceDN w:val="0"/>
              <w:adjustRightInd w:val="0"/>
              <w:spacing w:line="340" w:lineRule="atLeast"/>
              <w:rPr>
                <w:b/>
                <w:sz w:val="18"/>
                <w:szCs w:val="18"/>
                <w:lang w:val="ro-RO"/>
              </w:rPr>
            </w:pPr>
            <w:r w:rsidRPr="006258E5">
              <w:rPr>
                <w:b/>
                <w:sz w:val="18"/>
                <w:szCs w:val="18"/>
                <w:lang w:val="ro-RO"/>
              </w:rPr>
              <w:t>3. Impact financiar, plus/minus, din care:</w:t>
            </w:r>
          </w:p>
          <w:p w14:paraId="69D35443" w14:textId="77777777" w:rsidR="005B34CB" w:rsidRPr="006258E5" w:rsidRDefault="005B34CB" w:rsidP="005B34CB">
            <w:pPr>
              <w:numPr>
                <w:ilvl w:val="0"/>
                <w:numId w:val="9"/>
              </w:numPr>
              <w:autoSpaceDE w:val="0"/>
              <w:autoSpaceDN w:val="0"/>
              <w:adjustRightInd w:val="0"/>
              <w:spacing w:line="340" w:lineRule="atLeast"/>
              <w:rPr>
                <w:sz w:val="18"/>
                <w:szCs w:val="18"/>
                <w:lang w:val="ro-RO"/>
              </w:rPr>
            </w:pPr>
            <w:r w:rsidRPr="006258E5">
              <w:rPr>
                <w:sz w:val="18"/>
                <w:szCs w:val="18"/>
                <w:lang w:val="ro-RO"/>
              </w:rPr>
              <w:t>buget de stat</w:t>
            </w:r>
          </w:p>
          <w:p w14:paraId="6B549043" w14:textId="77777777" w:rsidR="005B34CB" w:rsidRPr="006258E5" w:rsidRDefault="005B34CB" w:rsidP="005B34CB">
            <w:pPr>
              <w:numPr>
                <w:ilvl w:val="0"/>
                <w:numId w:val="9"/>
              </w:numPr>
              <w:autoSpaceDE w:val="0"/>
              <w:autoSpaceDN w:val="0"/>
              <w:adjustRightInd w:val="0"/>
              <w:spacing w:line="340" w:lineRule="atLeast"/>
              <w:rPr>
                <w:sz w:val="18"/>
                <w:szCs w:val="18"/>
                <w:lang w:val="ro-RO"/>
              </w:rPr>
            </w:pPr>
            <w:r w:rsidRPr="006258E5">
              <w:rPr>
                <w:sz w:val="18"/>
                <w:szCs w:val="18"/>
                <w:lang w:val="ro-RO"/>
              </w:rPr>
              <w:t>bugete locale</w:t>
            </w:r>
          </w:p>
        </w:tc>
        <w:tc>
          <w:tcPr>
            <w:tcW w:w="5461" w:type="dxa"/>
            <w:gridSpan w:val="7"/>
          </w:tcPr>
          <w:p w14:paraId="262F5932" w14:textId="77777777" w:rsidR="005B34CB" w:rsidRPr="006258E5" w:rsidRDefault="005B34CB" w:rsidP="005B34CB">
            <w:pPr>
              <w:jc w:val="both"/>
              <w:rPr>
                <w:sz w:val="18"/>
                <w:szCs w:val="18"/>
                <w:lang w:val="ro-RO"/>
              </w:rPr>
            </w:pPr>
          </w:p>
        </w:tc>
      </w:tr>
      <w:tr w:rsidR="005B34CB" w:rsidRPr="006258E5" w14:paraId="05485E35" w14:textId="77777777" w:rsidTr="60891C03">
        <w:tc>
          <w:tcPr>
            <w:tcW w:w="4410" w:type="dxa"/>
            <w:gridSpan w:val="2"/>
          </w:tcPr>
          <w:p w14:paraId="4A9FB0D9" w14:textId="77777777" w:rsidR="005B34CB" w:rsidRPr="006258E5" w:rsidRDefault="005B34CB" w:rsidP="005B34CB">
            <w:pPr>
              <w:autoSpaceDE w:val="0"/>
              <w:autoSpaceDN w:val="0"/>
              <w:adjustRightInd w:val="0"/>
              <w:spacing w:line="340" w:lineRule="atLeast"/>
              <w:jc w:val="both"/>
              <w:rPr>
                <w:b/>
                <w:spacing w:val="-8"/>
                <w:sz w:val="18"/>
                <w:szCs w:val="18"/>
                <w:lang w:val="ro-RO"/>
              </w:rPr>
            </w:pPr>
            <w:r w:rsidRPr="006258E5">
              <w:rPr>
                <w:b/>
                <w:spacing w:val="-8"/>
                <w:sz w:val="18"/>
                <w:szCs w:val="18"/>
                <w:lang w:val="ro-RO"/>
              </w:rPr>
              <w:t>4</w:t>
            </w:r>
            <w:r w:rsidRPr="006258E5">
              <w:rPr>
                <w:b/>
                <w:sz w:val="18"/>
                <w:szCs w:val="18"/>
                <w:lang w:val="ro-RO"/>
              </w:rPr>
              <w:t>. Propuneri pentru acoperirea creşterii cheltuielilor bugetare</w:t>
            </w:r>
          </w:p>
        </w:tc>
        <w:tc>
          <w:tcPr>
            <w:tcW w:w="5461" w:type="dxa"/>
            <w:gridSpan w:val="7"/>
          </w:tcPr>
          <w:p w14:paraId="5249085A" w14:textId="77777777" w:rsidR="00C853F3" w:rsidRPr="006258E5" w:rsidRDefault="00C853F3" w:rsidP="00C853F3">
            <w:pPr>
              <w:spacing w:line="340" w:lineRule="atLeast"/>
              <w:jc w:val="both"/>
              <w:rPr>
                <w:sz w:val="18"/>
                <w:szCs w:val="18"/>
                <w:lang w:val="ro-RO"/>
              </w:rPr>
            </w:pPr>
            <w:r w:rsidRPr="006258E5">
              <w:rPr>
                <w:sz w:val="18"/>
                <w:szCs w:val="18"/>
                <w:lang w:val="ro-RO"/>
              </w:rPr>
              <w:t>Nu este cazul.</w:t>
            </w:r>
          </w:p>
          <w:p w14:paraId="6B505E8E" w14:textId="77777777" w:rsidR="005B34CB" w:rsidRPr="006258E5" w:rsidRDefault="005B34CB" w:rsidP="005B34CB">
            <w:pPr>
              <w:spacing w:line="340" w:lineRule="atLeast"/>
              <w:jc w:val="both"/>
              <w:rPr>
                <w:sz w:val="18"/>
                <w:szCs w:val="18"/>
                <w:lang w:val="ro-RO"/>
              </w:rPr>
            </w:pPr>
          </w:p>
        </w:tc>
      </w:tr>
      <w:tr w:rsidR="005B34CB" w:rsidRPr="006258E5" w14:paraId="3C207043" w14:textId="77777777" w:rsidTr="60891C03">
        <w:tc>
          <w:tcPr>
            <w:tcW w:w="4410" w:type="dxa"/>
            <w:gridSpan w:val="2"/>
          </w:tcPr>
          <w:p w14:paraId="4452CB08"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5. Propuneri pentru a compensa reducerea veniturilor bugetare</w:t>
            </w:r>
          </w:p>
        </w:tc>
        <w:tc>
          <w:tcPr>
            <w:tcW w:w="5461" w:type="dxa"/>
            <w:gridSpan w:val="7"/>
          </w:tcPr>
          <w:p w14:paraId="592C1128" w14:textId="77777777" w:rsidR="00C853F3" w:rsidRPr="006258E5" w:rsidRDefault="00C853F3" w:rsidP="00C853F3">
            <w:pPr>
              <w:spacing w:line="340" w:lineRule="atLeast"/>
              <w:jc w:val="both"/>
              <w:rPr>
                <w:sz w:val="18"/>
                <w:szCs w:val="18"/>
                <w:lang w:val="ro-RO"/>
              </w:rPr>
            </w:pPr>
            <w:r w:rsidRPr="006258E5">
              <w:rPr>
                <w:sz w:val="18"/>
                <w:szCs w:val="18"/>
                <w:lang w:val="ro-RO"/>
              </w:rPr>
              <w:t>Nu este cazul.</w:t>
            </w:r>
          </w:p>
          <w:p w14:paraId="3743B917" w14:textId="77777777" w:rsidR="005B34CB" w:rsidRPr="006258E5" w:rsidRDefault="005B34CB" w:rsidP="005B34CB">
            <w:pPr>
              <w:spacing w:line="340" w:lineRule="atLeast"/>
              <w:jc w:val="both"/>
              <w:rPr>
                <w:sz w:val="18"/>
                <w:szCs w:val="18"/>
                <w:lang w:val="ro-RO"/>
              </w:rPr>
            </w:pPr>
          </w:p>
        </w:tc>
      </w:tr>
      <w:tr w:rsidR="005B34CB" w:rsidRPr="006258E5" w14:paraId="529603C0" w14:textId="77777777" w:rsidTr="60891C03">
        <w:tc>
          <w:tcPr>
            <w:tcW w:w="4410" w:type="dxa"/>
            <w:gridSpan w:val="2"/>
          </w:tcPr>
          <w:p w14:paraId="437F8A10" w14:textId="77777777" w:rsidR="005B34CB" w:rsidRPr="006258E5" w:rsidRDefault="005B34CB" w:rsidP="005B34CB">
            <w:pPr>
              <w:tabs>
                <w:tab w:val="left" w:pos="273"/>
              </w:tabs>
              <w:autoSpaceDE w:val="0"/>
              <w:autoSpaceDN w:val="0"/>
              <w:adjustRightInd w:val="0"/>
              <w:spacing w:line="340" w:lineRule="atLeast"/>
              <w:jc w:val="both"/>
              <w:rPr>
                <w:b/>
                <w:sz w:val="18"/>
                <w:szCs w:val="18"/>
                <w:lang w:val="ro-RO"/>
              </w:rPr>
            </w:pPr>
            <w:r w:rsidRPr="006258E5">
              <w:rPr>
                <w:b/>
                <w:sz w:val="18"/>
                <w:szCs w:val="18"/>
                <w:lang w:val="ro-RO"/>
              </w:rPr>
              <w:t>6. Calcule detaliate privind fundamentarea modificărilor veniturilor şi/sau cheltuielilor bugetare</w:t>
            </w:r>
          </w:p>
        </w:tc>
        <w:tc>
          <w:tcPr>
            <w:tcW w:w="5461" w:type="dxa"/>
            <w:gridSpan w:val="7"/>
          </w:tcPr>
          <w:p w14:paraId="0EE06BD8" w14:textId="77777777" w:rsidR="005B34CB" w:rsidRPr="006258E5" w:rsidRDefault="005B34CB" w:rsidP="005B34CB">
            <w:pPr>
              <w:spacing w:line="340" w:lineRule="atLeast"/>
              <w:jc w:val="both"/>
              <w:rPr>
                <w:sz w:val="18"/>
                <w:szCs w:val="18"/>
                <w:lang w:val="ro-RO"/>
              </w:rPr>
            </w:pPr>
          </w:p>
        </w:tc>
      </w:tr>
      <w:tr w:rsidR="005B34CB" w:rsidRPr="006258E5" w14:paraId="42A0A339" w14:textId="77777777" w:rsidTr="60891C03">
        <w:tc>
          <w:tcPr>
            <w:tcW w:w="4410" w:type="dxa"/>
            <w:gridSpan w:val="2"/>
          </w:tcPr>
          <w:p w14:paraId="601AC520" w14:textId="77777777" w:rsidR="005B34CB" w:rsidRPr="006258E5" w:rsidRDefault="005B34CB" w:rsidP="005B34CB">
            <w:pPr>
              <w:tabs>
                <w:tab w:val="left" w:pos="273"/>
              </w:tabs>
              <w:autoSpaceDE w:val="0"/>
              <w:autoSpaceDN w:val="0"/>
              <w:adjustRightInd w:val="0"/>
              <w:spacing w:line="340" w:lineRule="atLeast"/>
              <w:jc w:val="both"/>
              <w:rPr>
                <w:b/>
                <w:sz w:val="18"/>
                <w:szCs w:val="18"/>
                <w:lang w:val="ro-RO"/>
              </w:rPr>
            </w:pPr>
            <w:r w:rsidRPr="006258E5">
              <w:rPr>
                <w:b/>
                <w:sz w:val="18"/>
                <w:szCs w:val="18"/>
                <w:lang w:val="ro-RO"/>
              </w:rPr>
              <w:t xml:space="preserve">7. Alte informații </w:t>
            </w:r>
          </w:p>
        </w:tc>
        <w:tc>
          <w:tcPr>
            <w:tcW w:w="5461" w:type="dxa"/>
            <w:gridSpan w:val="7"/>
          </w:tcPr>
          <w:p w14:paraId="7E09376F" w14:textId="77777777" w:rsidR="005B34CB" w:rsidRPr="006258E5" w:rsidRDefault="005B34CB" w:rsidP="005B34CB">
            <w:pPr>
              <w:spacing w:line="340" w:lineRule="atLeast"/>
              <w:jc w:val="both"/>
              <w:rPr>
                <w:sz w:val="18"/>
                <w:szCs w:val="18"/>
                <w:lang w:val="ro-RO"/>
              </w:rPr>
            </w:pPr>
          </w:p>
        </w:tc>
      </w:tr>
      <w:tr w:rsidR="005B34CB" w:rsidRPr="006258E5" w14:paraId="3195008A" w14:textId="77777777" w:rsidTr="60891C03">
        <w:tc>
          <w:tcPr>
            <w:tcW w:w="9871" w:type="dxa"/>
            <w:gridSpan w:val="9"/>
          </w:tcPr>
          <w:p w14:paraId="27A28BF6" w14:textId="77777777" w:rsidR="005B34CB" w:rsidRPr="006258E5" w:rsidRDefault="005B34CB" w:rsidP="005B34CB">
            <w:pPr>
              <w:spacing w:line="340" w:lineRule="atLeast"/>
              <w:jc w:val="center"/>
              <w:rPr>
                <w:b/>
                <w:sz w:val="18"/>
                <w:szCs w:val="18"/>
                <w:lang w:val="ro-RO"/>
              </w:rPr>
            </w:pPr>
            <w:r w:rsidRPr="006258E5">
              <w:rPr>
                <w:b/>
                <w:sz w:val="18"/>
                <w:szCs w:val="18"/>
                <w:lang w:val="ro-RO"/>
              </w:rPr>
              <w:t>Secţiunea a 5-a</w:t>
            </w:r>
          </w:p>
          <w:p w14:paraId="21E0366F" w14:textId="77777777" w:rsidR="005B34CB" w:rsidRPr="006258E5" w:rsidRDefault="005B34CB" w:rsidP="005B34CB">
            <w:pPr>
              <w:spacing w:line="340" w:lineRule="atLeast"/>
              <w:jc w:val="center"/>
              <w:rPr>
                <w:b/>
                <w:sz w:val="18"/>
                <w:szCs w:val="18"/>
                <w:lang w:val="ro-RO"/>
              </w:rPr>
            </w:pPr>
            <w:r w:rsidRPr="006258E5">
              <w:rPr>
                <w:b/>
                <w:sz w:val="18"/>
                <w:szCs w:val="18"/>
                <w:lang w:val="ro-RO"/>
              </w:rPr>
              <w:t>Efectele proiectului de act normativ asupra legislaţiei în vigoare</w:t>
            </w:r>
          </w:p>
        </w:tc>
      </w:tr>
      <w:tr w:rsidR="005B34CB" w:rsidRPr="006258E5" w14:paraId="335E3EDF" w14:textId="77777777" w:rsidTr="60891C03">
        <w:tc>
          <w:tcPr>
            <w:tcW w:w="4500" w:type="dxa"/>
            <w:gridSpan w:val="3"/>
          </w:tcPr>
          <w:p w14:paraId="3C427B29"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1. Măsuri normative necesare pentru aplicarea prevederilor proiectului de act normativ:</w:t>
            </w:r>
          </w:p>
          <w:p w14:paraId="5D7BA33E" w14:textId="77777777" w:rsidR="005B34CB" w:rsidRPr="006258E5" w:rsidRDefault="005B34CB" w:rsidP="005B34CB">
            <w:pPr>
              <w:autoSpaceDE w:val="0"/>
              <w:autoSpaceDN w:val="0"/>
              <w:adjustRightInd w:val="0"/>
              <w:spacing w:line="340" w:lineRule="atLeast"/>
              <w:rPr>
                <w:sz w:val="18"/>
                <w:szCs w:val="18"/>
                <w:lang w:val="ro-RO"/>
              </w:rPr>
            </w:pPr>
            <w:r w:rsidRPr="006258E5">
              <w:rPr>
                <w:sz w:val="18"/>
                <w:szCs w:val="18"/>
                <w:lang w:val="ro-RO"/>
              </w:rPr>
              <w:lastRenderedPageBreak/>
              <w:t>a) acte normative în vigoare ce vor fi modificate sau abrogate, ca urmare a intrării în vigoare a proiectului de act normativ;</w:t>
            </w:r>
          </w:p>
          <w:p w14:paraId="6B326912" w14:textId="77777777" w:rsidR="005B34CB" w:rsidRPr="006258E5" w:rsidRDefault="005B34CB" w:rsidP="005B34CB">
            <w:pPr>
              <w:autoSpaceDE w:val="0"/>
              <w:autoSpaceDN w:val="0"/>
              <w:adjustRightInd w:val="0"/>
              <w:spacing w:line="340" w:lineRule="atLeast"/>
              <w:jc w:val="both"/>
              <w:rPr>
                <w:sz w:val="18"/>
                <w:szCs w:val="18"/>
                <w:lang w:val="ro-RO"/>
              </w:rPr>
            </w:pPr>
            <w:r w:rsidRPr="006258E5">
              <w:rPr>
                <w:sz w:val="18"/>
                <w:szCs w:val="18"/>
                <w:lang w:val="ro-RO"/>
              </w:rPr>
              <w:t>b) acte normative ce urmează a fi elaborate în vederea implementării noilor dispoziţii.</w:t>
            </w:r>
          </w:p>
        </w:tc>
        <w:tc>
          <w:tcPr>
            <w:tcW w:w="5371" w:type="dxa"/>
            <w:gridSpan w:val="6"/>
          </w:tcPr>
          <w:p w14:paraId="07F5D8CB" w14:textId="77777777" w:rsidR="005B34CB" w:rsidRPr="006258E5" w:rsidRDefault="005B34CB" w:rsidP="005B34CB">
            <w:pPr>
              <w:spacing w:line="340" w:lineRule="atLeast"/>
              <w:jc w:val="both"/>
              <w:rPr>
                <w:sz w:val="18"/>
                <w:szCs w:val="18"/>
                <w:lang w:val="ro-RO"/>
              </w:rPr>
            </w:pPr>
          </w:p>
          <w:p w14:paraId="7D8AA3F5" w14:textId="77777777" w:rsidR="005B34CB" w:rsidRPr="006258E5" w:rsidRDefault="005B34CB" w:rsidP="005B34CB">
            <w:pPr>
              <w:spacing w:line="340" w:lineRule="atLeast"/>
              <w:jc w:val="both"/>
              <w:rPr>
                <w:sz w:val="18"/>
                <w:szCs w:val="18"/>
                <w:lang w:val="ro-RO"/>
              </w:rPr>
            </w:pPr>
          </w:p>
          <w:p w14:paraId="4AC0E165" w14:textId="77777777" w:rsidR="005B34CB" w:rsidRPr="006258E5" w:rsidRDefault="005B34CB" w:rsidP="005B34CB">
            <w:pPr>
              <w:spacing w:line="340" w:lineRule="atLeast"/>
              <w:jc w:val="both"/>
              <w:rPr>
                <w:sz w:val="18"/>
                <w:szCs w:val="18"/>
                <w:lang w:val="ro-RO"/>
              </w:rPr>
            </w:pPr>
          </w:p>
          <w:p w14:paraId="6493AF0A" w14:textId="77777777" w:rsidR="005B34CB" w:rsidRPr="006258E5" w:rsidRDefault="005B34CB" w:rsidP="005B34CB">
            <w:pPr>
              <w:spacing w:line="340" w:lineRule="atLeast"/>
              <w:jc w:val="both"/>
              <w:rPr>
                <w:sz w:val="18"/>
                <w:szCs w:val="18"/>
                <w:lang w:val="ro-RO"/>
              </w:rPr>
            </w:pPr>
          </w:p>
          <w:p w14:paraId="10AEFA30" w14:textId="77777777" w:rsidR="005B34CB" w:rsidRPr="006258E5" w:rsidRDefault="005B34CB" w:rsidP="005B34CB">
            <w:pPr>
              <w:spacing w:line="340" w:lineRule="atLeast"/>
              <w:jc w:val="both"/>
              <w:rPr>
                <w:sz w:val="18"/>
                <w:szCs w:val="18"/>
                <w:lang w:val="ro-RO"/>
              </w:rPr>
            </w:pPr>
          </w:p>
          <w:p w14:paraId="23C0B7F7" w14:textId="77777777" w:rsidR="005B34CB" w:rsidRPr="006258E5" w:rsidRDefault="005B34CB" w:rsidP="005B34CB">
            <w:pPr>
              <w:spacing w:line="340" w:lineRule="atLeast"/>
              <w:jc w:val="both"/>
              <w:rPr>
                <w:sz w:val="18"/>
                <w:szCs w:val="18"/>
                <w:lang w:val="ro-RO"/>
              </w:rPr>
            </w:pPr>
          </w:p>
        </w:tc>
      </w:tr>
      <w:tr w:rsidR="005B34CB" w:rsidRPr="006258E5" w14:paraId="794D90E6" w14:textId="77777777" w:rsidTr="60891C03">
        <w:tc>
          <w:tcPr>
            <w:tcW w:w="4500" w:type="dxa"/>
            <w:gridSpan w:val="3"/>
          </w:tcPr>
          <w:p w14:paraId="419EB712" w14:textId="77777777" w:rsidR="005B34CB" w:rsidRPr="006258E5" w:rsidRDefault="005B34CB" w:rsidP="005B34CB">
            <w:pPr>
              <w:jc w:val="both"/>
              <w:rPr>
                <w:b/>
                <w:sz w:val="18"/>
                <w:szCs w:val="18"/>
                <w:lang w:val="ro-RO"/>
              </w:rPr>
            </w:pPr>
            <w:r w:rsidRPr="006258E5">
              <w:rPr>
                <w:b/>
                <w:sz w:val="18"/>
                <w:szCs w:val="18"/>
                <w:lang w:val="ro-RO"/>
              </w:rPr>
              <w:lastRenderedPageBreak/>
              <w:t>1^1 Compatibilitatea proiectului de act normativ cu legislația în domeniul achizițiilor publice</w:t>
            </w:r>
          </w:p>
        </w:tc>
        <w:tc>
          <w:tcPr>
            <w:tcW w:w="5371" w:type="dxa"/>
            <w:gridSpan w:val="6"/>
          </w:tcPr>
          <w:p w14:paraId="00E20103" w14:textId="77777777" w:rsidR="005B34CB" w:rsidRPr="006258E5" w:rsidRDefault="005B34CB" w:rsidP="005B34CB">
            <w:pPr>
              <w:spacing w:line="340" w:lineRule="atLeast"/>
              <w:jc w:val="both"/>
              <w:rPr>
                <w:sz w:val="18"/>
                <w:szCs w:val="18"/>
                <w:lang w:val="ro-RO"/>
              </w:rPr>
            </w:pPr>
          </w:p>
        </w:tc>
      </w:tr>
      <w:tr w:rsidR="005B34CB" w:rsidRPr="006258E5" w14:paraId="1D5D81EC" w14:textId="77777777" w:rsidTr="60891C03">
        <w:tc>
          <w:tcPr>
            <w:tcW w:w="4500" w:type="dxa"/>
            <w:gridSpan w:val="3"/>
          </w:tcPr>
          <w:p w14:paraId="2FBCCC55"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2. Conformitatea proiectului de act normativ cu legislaţia comunitară în cazul proiectelor ce transpun prevederi comunitare</w:t>
            </w:r>
          </w:p>
        </w:tc>
        <w:tc>
          <w:tcPr>
            <w:tcW w:w="5371" w:type="dxa"/>
            <w:gridSpan w:val="6"/>
          </w:tcPr>
          <w:p w14:paraId="78F792CC" w14:textId="77777777" w:rsidR="005B34CB" w:rsidRPr="006258E5" w:rsidRDefault="005B34CB" w:rsidP="005B34CB">
            <w:pPr>
              <w:spacing w:line="340" w:lineRule="atLeast"/>
              <w:jc w:val="both"/>
              <w:rPr>
                <w:sz w:val="18"/>
                <w:szCs w:val="18"/>
                <w:lang w:val="ro-RO"/>
              </w:rPr>
            </w:pPr>
          </w:p>
          <w:p w14:paraId="4CC7859C" w14:textId="77777777" w:rsidR="005B34CB" w:rsidRPr="006258E5" w:rsidRDefault="005B34CB" w:rsidP="005B34CB">
            <w:pPr>
              <w:spacing w:line="340" w:lineRule="atLeast"/>
              <w:jc w:val="both"/>
              <w:rPr>
                <w:sz w:val="18"/>
                <w:szCs w:val="18"/>
                <w:lang w:val="ro-RO"/>
              </w:rPr>
            </w:pPr>
          </w:p>
        </w:tc>
      </w:tr>
      <w:tr w:rsidR="005B34CB" w:rsidRPr="006258E5" w14:paraId="78D03334" w14:textId="77777777" w:rsidTr="60891C03">
        <w:tc>
          <w:tcPr>
            <w:tcW w:w="4500" w:type="dxa"/>
            <w:gridSpan w:val="3"/>
          </w:tcPr>
          <w:p w14:paraId="274E02D1"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3.Măsuri normative necesare aplicării directe a actelor normative comunitare</w:t>
            </w:r>
          </w:p>
        </w:tc>
        <w:tc>
          <w:tcPr>
            <w:tcW w:w="5371" w:type="dxa"/>
            <w:gridSpan w:val="6"/>
          </w:tcPr>
          <w:p w14:paraId="76CEDBB9" w14:textId="77777777" w:rsidR="005B34CB" w:rsidRPr="006258E5" w:rsidRDefault="005B34CB" w:rsidP="005B34CB">
            <w:pPr>
              <w:spacing w:line="340" w:lineRule="atLeast"/>
              <w:jc w:val="both"/>
              <w:rPr>
                <w:sz w:val="18"/>
                <w:szCs w:val="18"/>
                <w:lang w:val="ro-RO"/>
              </w:rPr>
            </w:pPr>
          </w:p>
        </w:tc>
      </w:tr>
      <w:tr w:rsidR="005B34CB" w:rsidRPr="006258E5" w14:paraId="6001E423" w14:textId="77777777" w:rsidTr="60891C03">
        <w:tc>
          <w:tcPr>
            <w:tcW w:w="4500" w:type="dxa"/>
            <w:gridSpan w:val="3"/>
          </w:tcPr>
          <w:p w14:paraId="66493A6A" w14:textId="77777777" w:rsidR="005B34CB" w:rsidRPr="006258E5" w:rsidRDefault="005B34CB" w:rsidP="005B34CB">
            <w:pPr>
              <w:autoSpaceDE w:val="0"/>
              <w:autoSpaceDN w:val="0"/>
              <w:adjustRightInd w:val="0"/>
              <w:spacing w:line="340" w:lineRule="atLeast"/>
              <w:rPr>
                <w:b/>
                <w:sz w:val="18"/>
                <w:szCs w:val="18"/>
                <w:lang w:val="ro-RO"/>
              </w:rPr>
            </w:pPr>
            <w:r w:rsidRPr="006258E5">
              <w:rPr>
                <w:b/>
                <w:sz w:val="18"/>
                <w:szCs w:val="18"/>
                <w:lang w:val="ro-RO"/>
              </w:rPr>
              <w:t>4. Hotărâri ale Curţii de Justiţie a Uniunii Europene</w:t>
            </w:r>
          </w:p>
        </w:tc>
        <w:tc>
          <w:tcPr>
            <w:tcW w:w="5371" w:type="dxa"/>
            <w:gridSpan w:val="6"/>
          </w:tcPr>
          <w:p w14:paraId="2252DD56" w14:textId="77777777" w:rsidR="005B34CB" w:rsidRPr="006258E5" w:rsidRDefault="005B34CB" w:rsidP="005B34CB">
            <w:pPr>
              <w:spacing w:line="340" w:lineRule="atLeast"/>
              <w:jc w:val="both"/>
              <w:rPr>
                <w:sz w:val="18"/>
                <w:szCs w:val="18"/>
                <w:lang w:val="ro-RO"/>
              </w:rPr>
            </w:pPr>
          </w:p>
        </w:tc>
      </w:tr>
      <w:tr w:rsidR="005B34CB" w:rsidRPr="006258E5" w14:paraId="5CF09EB0" w14:textId="77777777" w:rsidTr="60891C03">
        <w:tc>
          <w:tcPr>
            <w:tcW w:w="4500" w:type="dxa"/>
            <w:gridSpan w:val="3"/>
          </w:tcPr>
          <w:p w14:paraId="4399FFE3"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5. Alte acte normative şi/sau documente internaţionale din care decurg angajamente</w:t>
            </w:r>
          </w:p>
        </w:tc>
        <w:tc>
          <w:tcPr>
            <w:tcW w:w="5371" w:type="dxa"/>
            <w:gridSpan w:val="6"/>
          </w:tcPr>
          <w:p w14:paraId="05FA73E5" w14:textId="77777777" w:rsidR="005B34CB" w:rsidRPr="006258E5" w:rsidRDefault="005B34CB" w:rsidP="005B34CB">
            <w:pPr>
              <w:spacing w:line="340" w:lineRule="atLeast"/>
              <w:jc w:val="both"/>
              <w:rPr>
                <w:sz w:val="18"/>
                <w:szCs w:val="18"/>
                <w:lang w:val="ro-RO"/>
              </w:rPr>
            </w:pPr>
          </w:p>
          <w:p w14:paraId="743CD627" w14:textId="77777777" w:rsidR="005B34CB" w:rsidRPr="006258E5" w:rsidRDefault="005B34CB" w:rsidP="005B34CB">
            <w:pPr>
              <w:spacing w:line="340" w:lineRule="atLeast"/>
              <w:jc w:val="both"/>
              <w:rPr>
                <w:sz w:val="18"/>
                <w:szCs w:val="18"/>
                <w:lang w:val="ro-RO"/>
              </w:rPr>
            </w:pPr>
          </w:p>
        </w:tc>
      </w:tr>
      <w:tr w:rsidR="005B34CB" w:rsidRPr="006258E5" w14:paraId="4B4AFDBE" w14:textId="77777777" w:rsidTr="60891C03">
        <w:trPr>
          <w:trHeight w:val="405"/>
        </w:trPr>
        <w:tc>
          <w:tcPr>
            <w:tcW w:w="4500" w:type="dxa"/>
            <w:gridSpan w:val="3"/>
          </w:tcPr>
          <w:p w14:paraId="16049DFB" w14:textId="77777777" w:rsidR="005B34CB" w:rsidRPr="006258E5" w:rsidRDefault="005B34CB" w:rsidP="005B34CB">
            <w:pPr>
              <w:autoSpaceDE w:val="0"/>
              <w:autoSpaceDN w:val="0"/>
              <w:adjustRightInd w:val="0"/>
              <w:spacing w:line="340" w:lineRule="atLeast"/>
              <w:rPr>
                <w:b/>
                <w:sz w:val="18"/>
                <w:szCs w:val="18"/>
                <w:lang w:val="ro-RO"/>
              </w:rPr>
            </w:pPr>
            <w:r w:rsidRPr="006258E5">
              <w:rPr>
                <w:b/>
                <w:sz w:val="18"/>
                <w:szCs w:val="18"/>
                <w:lang w:val="ro-RO"/>
              </w:rPr>
              <w:t>6. Alte informaţii</w:t>
            </w:r>
          </w:p>
        </w:tc>
        <w:tc>
          <w:tcPr>
            <w:tcW w:w="5371" w:type="dxa"/>
            <w:gridSpan w:val="6"/>
          </w:tcPr>
          <w:p w14:paraId="4A2D6A11" w14:textId="77777777" w:rsidR="005B34CB" w:rsidRPr="006258E5" w:rsidRDefault="005B34CB" w:rsidP="005B34CB">
            <w:pPr>
              <w:spacing w:line="340" w:lineRule="atLeast"/>
              <w:jc w:val="both"/>
              <w:rPr>
                <w:sz w:val="18"/>
                <w:szCs w:val="18"/>
                <w:lang w:val="ro-RO"/>
              </w:rPr>
            </w:pPr>
          </w:p>
        </w:tc>
      </w:tr>
      <w:tr w:rsidR="005B34CB" w:rsidRPr="006258E5" w14:paraId="7BA5BE7A" w14:textId="77777777" w:rsidTr="60891C03">
        <w:tc>
          <w:tcPr>
            <w:tcW w:w="9871" w:type="dxa"/>
            <w:gridSpan w:val="9"/>
          </w:tcPr>
          <w:p w14:paraId="16F54DA0" w14:textId="77777777" w:rsidR="005B34CB" w:rsidRPr="006258E5" w:rsidRDefault="005B34CB" w:rsidP="005B34CB">
            <w:pPr>
              <w:autoSpaceDE w:val="0"/>
              <w:autoSpaceDN w:val="0"/>
              <w:adjustRightInd w:val="0"/>
              <w:spacing w:line="340" w:lineRule="atLeast"/>
              <w:jc w:val="center"/>
              <w:rPr>
                <w:b/>
                <w:sz w:val="18"/>
                <w:szCs w:val="18"/>
                <w:lang w:val="ro-RO"/>
              </w:rPr>
            </w:pPr>
            <w:r w:rsidRPr="006258E5">
              <w:rPr>
                <w:b/>
                <w:sz w:val="18"/>
                <w:szCs w:val="18"/>
                <w:lang w:val="ro-RO"/>
              </w:rPr>
              <w:t>Secţiunea a 6-a</w:t>
            </w:r>
          </w:p>
          <w:p w14:paraId="5BAFA04E" w14:textId="77777777" w:rsidR="005B34CB" w:rsidRPr="006258E5" w:rsidRDefault="005B34CB" w:rsidP="005B34CB">
            <w:pPr>
              <w:spacing w:line="340" w:lineRule="atLeast"/>
              <w:jc w:val="center"/>
              <w:rPr>
                <w:b/>
                <w:sz w:val="18"/>
                <w:szCs w:val="18"/>
                <w:lang w:val="ro-RO"/>
              </w:rPr>
            </w:pPr>
            <w:r w:rsidRPr="006258E5">
              <w:rPr>
                <w:b/>
                <w:sz w:val="18"/>
                <w:szCs w:val="18"/>
                <w:lang w:val="ro-RO"/>
              </w:rPr>
              <w:t>Consultările efectuate în vederea elaborării proiectului de act normativ</w:t>
            </w:r>
          </w:p>
        </w:tc>
      </w:tr>
      <w:tr w:rsidR="005B34CB" w:rsidRPr="006258E5" w14:paraId="40B6BF53" w14:textId="77777777" w:rsidTr="60891C03">
        <w:trPr>
          <w:trHeight w:val="350"/>
        </w:trPr>
        <w:tc>
          <w:tcPr>
            <w:tcW w:w="4500" w:type="dxa"/>
            <w:gridSpan w:val="3"/>
          </w:tcPr>
          <w:p w14:paraId="20894EF9"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1. Informaţii privind procesul de consultare cu organizaţii neguvernamentale, institute de cercetare şi alte organisme implicate</w:t>
            </w:r>
          </w:p>
        </w:tc>
        <w:tc>
          <w:tcPr>
            <w:tcW w:w="5371" w:type="dxa"/>
            <w:gridSpan w:val="6"/>
          </w:tcPr>
          <w:p w14:paraId="4EA77BA6" w14:textId="77777777" w:rsidR="005B34CB" w:rsidRPr="006258E5" w:rsidRDefault="005B34CB" w:rsidP="005B34CB">
            <w:pPr>
              <w:spacing w:line="340" w:lineRule="atLeast"/>
              <w:jc w:val="both"/>
              <w:rPr>
                <w:sz w:val="18"/>
                <w:szCs w:val="18"/>
                <w:lang w:val="ro-RO"/>
              </w:rPr>
            </w:pPr>
          </w:p>
          <w:p w14:paraId="0A3F7D4E" w14:textId="77777777" w:rsidR="005B34CB" w:rsidRPr="006258E5" w:rsidRDefault="005B34CB" w:rsidP="005B34CB">
            <w:pPr>
              <w:spacing w:line="340" w:lineRule="atLeast"/>
              <w:jc w:val="both"/>
              <w:rPr>
                <w:sz w:val="18"/>
                <w:szCs w:val="18"/>
                <w:lang w:val="ro-RO"/>
              </w:rPr>
            </w:pPr>
          </w:p>
        </w:tc>
      </w:tr>
      <w:tr w:rsidR="005B34CB" w:rsidRPr="006258E5" w14:paraId="2789572B" w14:textId="77777777" w:rsidTr="60891C03">
        <w:tc>
          <w:tcPr>
            <w:tcW w:w="4500" w:type="dxa"/>
            <w:gridSpan w:val="3"/>
          </w:tcPr>
          <w:p w14:paraId="3DD6B083" w14:textId="77777777" w:rsidR="005B34CB" w:rsidRPr="006258E5" w:rsidRDefault="005B34CB" w:rsidP="005B34CB">
            <w:pPr>
              <w:numPr>
                <w:ilvl w:val="2"/>
                <w:numId w:val="6"/>
              </w:numPr>
              <w:tabs>
                <w:tab w:val="clear" w:pos="2340"/>
                <w:tab w:val="num" w:pos="273"/>
              </w:tabs>
              <w:autoSpaceDE w:val="0"/>
              <w:autoSpaceDN w:val="0"/>
              <w:adjustRightInd w:val="0"/>
              <w:spacing w:line="340" w:lineRule="atLeast"/>
              <w:ind w:left="0" w:firstLine="0"/>
              <w:jc w:val="both"/>
              <w:rPr>
                <w:b/>
                <w:spacing w:val="-6"/>
                <w:sz w:val="18"/>
                <w:szCs w:val="18"/>
                <w:lang w:val="ro-RO"/>
              </w:rPr>
            </w:pPr>
            <w:r w:rsidRPr="006258E5">
              <w:rPr>
                <w:b/>
                <w:spacing w:val="-6"/>
                <w:sz w:val="18"/>
                <w:szCs w:val="18"/>
                <w:lang w:val="ro-RO"/>
              </w:rPr>
              <w:t>Fundamentarea alegerii organizaţiilor cu care a avut loc consultarea, precum şi a modului în care activitatea acestor organizaţii este legată de obiectul proiectului de act normativ</w:t>
            </w:r>
          </w:p>
        </w:tc>
        <w:tc>
          <w:tcPr>
            <w:tcW w:w="5371" w:type="dxa"/>
            <w:gridSpan w:val="6"/>
          </w:tcPr>
          <w:p w14:paraId="703E77DD" w14:textId="77777777" w:rsidR="005B34CB" w:rsidRPr="006258E5" w:rsidRDefault="005B34CB" w:rsidP="005B34CB">
            <w:pPr>
              <w:spacing w:line="340" w:lineRule="atLeast"/>
              <w:jc w:val="both"/>
              <w:rPr>
                <w:sz w:val="18"/>
                <w:szCs w:val="18"/>
                <w:lang w:val="ro-RO"/>
              </w:rPr>
            </w:pPr>
          </w:p>
        </w:tc>
      </w:tr>
      <w:tr w:rsidR="005B34CB" w:rsidRPr="006258E5" w14:paraId="031D9450" w14:textId="77777777" w:rsidTr="60891C03">
        <w:tc>
          <w:tcPr>
            <w:tcW w:w="4500" w:type="dxa"/>
            <w:gridSpan w:val="3"/>
          </w:tcPr>
          <w:p w14:paraId="5AE1C617"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 xml:space="preserve">3. Consultările organizate cu autorităţile administraţiei publice locale, în situaţia în care proiectul de act normativ are ca obiect activităţi ale acestor autorităţi, în condiţiile Hotărârii Guvernului nr. 521/2005 privind procedura de consultare a structurilor asociative ale autorităţilor </w:t>
            </w:r>
          </w:p>
          <w:p w14:paraId="22794669"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administraţiei publice locale la elaborarea proiectelor de acte normative</w:t>
            </w:r>
          </w:p>
        </w:tc>
        <w:tc>
          <w:tcPr>
            <w:tcW w:w="5371" w:type="dxa"/>
            <w:gridSpan w:val="6"/>
          </w:tcPr>
          <w:p w14:paraId="218EECC2" w14:textId="77777777" w:rsidR="005B34CB" w:rsidRPr="006258E5" w:rsidRDefault="005B34CB" w:rsidP="005B34CB">
            <w:pPr>
              <w:spacing w:line="340" w:lineRule="atLeast"/>
              <w:jc w:val="both"/>
              <w:rPr>
                <w:sz w:val="18"/>
                <w:szCs w:val="18"/>
                <w:lang w:val="ro-RO"/>
              </w:rPr>
            </w:pPr>
          </w:p>
        </w:tc>
      </w:tr>
      <w:tr w:rsidR="005B34CB" w:rsidRPr="006258E5" w14:paraId="276C3E0C" w14:textId="77777777" w:rsidTr="60891C03">
        <w:tc>
          <w:tcPr>
            <w:tcW w:w="4500" w:type="dxa"/>
            <w:gridSpan w:val="3"/>
          </w:tcPr>
          <w:p w14:paraId="20CF7FA1" w14:textId="77777777" w:rsidR="005B34CB" w:rsidRPr="006258E5" w:rsidRDefault="005B34CB" w:rsidP="005B34CB">
            <w:pPr>
              <w:autoSpaceDE w:val="0"/>
              <w:autoSpaceDN w:val="0"/>
              <w:adjustRightInd w:val="0"/>
              <w:spacing w:line="340" w:lineRule="atLeast"/>
              <w:jc w:val="both"/>
              <w:rPr>
                <w:b/>
                <w:spacing w:val="-4"/>
                <w:sz w:val="18"/>
                <w:szCs w:val="18"/>
                <w:lang w:val="ro-RO"/>
              </w:rPr>
            </w:pPr>
            <w:r w:rsidRPr="006258E5">
              <w:rPr>
                <w:b/>
                <w:sz w:val="18"/>
                <w:szCs w:val="18"/>
                <w:lang w:val="ro-RO"/>
              </w:rPr>
              <w:t xml:space="preserve">4. </w:t>
            </w:r>
            <w:r w:rsidRPr="006258E5">
              <w:rPr>
                <w:b/>
                <w:spacing w:val="-4"/>
                <w:sz w:val="18"/>
                <w:szCs w:val="18"/>
                <w:lang w:val="ro-RO"/>
              </w:rPr>
              <w:t xml:space="preserve">Consultările desfăşurate în cadrul consiliilor interministeriale, în conformitate cu prevederile Hotărârii  </w:t>
            </w:r>
            <w:r w:rsidRPr="006258E5">
              <w:rPr>
                <w:b/>
                <w:spacing w:val="-4"/>
                <w:sz w:val="18"/>
                <w:szCs w:val="18"/>
                <w:lang w:val="ro-RO"/>
              </w:rPr>
              <w:lastRenderedPageBreak/>
              <w:t>Guvernului nr. 750/2005 privind constituirea consiliilor interministeriale permanente</w:t>
            </w:r>
          </w:p>
        </w:tc>
        <w:tc>
          <w:tcPr>
            <w:tcW w:w="5371" w:type="dxa"/>
            <w:gridSpan w:val="6"/>
          </w:tcPr>
          <w:p w14:paraId="536010AA" w14:textId="77777777" w:rsidR="005B34CB" w:rsidRPr="006258E5" w:rsidRDefault="005B34CB" w:rsidP="005B34CB">
            <w:pPr>
              <w:spacing w:line="340" w:lineRule="atLeast"/>
              <w:jc w:val="both"/>
              <w:rPr>
                <w:sz w:val="18"/>
                <w:szCs w:val="18"/>
                <w:lang w:val="ro-RO"/>
              </w:rPr>
            </w:pPr>
          </w:p>
        </w:tc>
      </w:tr>
      <w:tr w:rsidR="005B34CB" w:rsidRPr="006258E5" w14:paraId="072CBB17" w14:textId="77777777" w:rsidTr="60891C03">
        <w:tc>
          <w:tcPr>
            <w:tcW w:w="4500" w:type="dxa"/>
            <w:gridSpan w:val="3"/>
          </w:tcPr>
          <w:p w14:paraId="7E952899"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5. Informaţii privind avizarea către:</w:t>
            </w:r>
          </w:p>
          <w:p w14:paraId="3B437868"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a) Consiliul Legislativ</w:t>
            </w:r>
          </w:p>
          <w:p w14:paraId="266F0D51"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b) Consiliul Suprem de Apărare a Tarii</w:t>
            </w:r>
          </w:p>
          <w:p w14:paraId="0D5EA69C"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c) Consiliul Economic şi Social</w:t>
            </w:r>
          </w:p>
          <w:p w14:paraId="032A5B68"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d) Consiliul Concurenţei</w:t>
            </w:r>
          </w:p>
          <w:p w14:paraId="0B01691F"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e) Curtea de Conturi</w:t>
            </w:r>
          </w:p>
        </w:tc>
        <w:tc>
          <w:tcPr>
            <w:tcW w:w="5371" w:type="dxa"/>
            <w:gridSpan w:val="6"/>
          </w:tcPr>
          <w:p w14:paraId="502A708D" w14:textId="77777777" w:rsidR="005B34CB" w:rsidRPr="006258E5" w:rsidRDefault="005B34CB" w:rsidP="005B34CB">
            <w:pPr>
              <w:spacing w:line="340" w:lineRule="atLeast"/>
              <w:jc w:val="both"/>
              <w:rPr>
                <w:sz w:val="18"/>
                <w:szCs w:val="18"/>
                <w:lang w:val="ro-RO"/>
              </w:rPr>
            </w:pPr>
          </w:p>
        </w:tc>
      </w:tr>
      <w:tr w:rsidR="005B34CB" w:rsidRPr="006258E5" w14:paraId="65E82C91" w14:textId="77777777" w:rsidTr="60891C03">
        <w:tc>
          <w:tcPr>
            <w:tcW w:w="4500" w:type="dxa"/>
            <w:gridSpan w:val="3"/>
          </w:tcPr>
          <w:p w14:paraId="5A121ECC"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6. Alte informații</w:t>
            </w:r>
          </w:p>
        </w:tc>
        <w:tc>
          <w:tcPr>
            <w:tcW w:w="5371" w:type="dxa"/>
            <w:gridSpan w:val="6"/>
          </w:tcPr>
          <w:p w14:paraId="04344FDB" w14:textId="77777777" w:rsidR="005B34CB" w:rsidRPr="006258E5" w:rsidRDefault="005B34CB" w:rsidP="005B34CB">
            <w:pPr>
              <w:autoSpaceDE w:val="0"/>
              <w:autoSpaceDN w:val="0"/>
              <w:adjustRightInd w:val="0"/>
              <w:spacing w:line="340" w:lineRule="atLeast"/>
              <w:jc w:val="both"/>
              <w:rPr>
                <w:sz w:val="18"/>
                <w:szCs w:val="18"/>
                <w:lang w:val="ro-RO"/>
              </w:rPr>
            </w:pPr>
          </w:p>
        </w:tc>
      </w:tr>
      <w:tr w:rsidR="005B34CB" w:rsidRPr="006258E5" w14:paraId="624C6CC0" w14:textId="77777777" w:rsidTr="60891C03">
        <w:trPr>
          <w:trHeight w:val="755"/>
        </w:trPr>
        <w:tc>
          <w:tcPr>
            <w:tcW w:w="9871" w:type="dxa"/>
            <w:gridSpan w:val="9"/>
          </w:tcPr>
          <w:p w14:paraId="1702B6BB" w14:textId="77777777" w:rsidR="005B34CB" w:rsidRPr="006258E5" w:rsidRDefault="005B34CB" w:rsidP="005B34CB">
            <w:pPr>
              <w:autoSpaceDE w:val="0"/>
              <w:autoSpaceDN w:val="0"/>
              <w:adjustRightInd w:val="0"/>
              <w:spacing w:line="340" w:lineRule="atLeast"/>
              <w:jc w:val="center"/>
              <w:rPr>
                <w:b/>
                <w:sz w:val="18"/>
                <w:szCs w:val="18"/>
                <w:lang w:val="ro-RO"/>
              </w:rPr>
            </w:pPr>
            <w:r w:rsidRPr="006258E5">
              <w:rPr>
                <w:b/>
                <w:sz w:val="18"/>
                <w:szCs w:val="18"/>
                <w:lang w:val="ro-RO"/>
              </w:rPr>
              <w:t>Secţiunea a 7-a</w:t>
            </w:r>
          </w:p>
          <w:p w14:paraId="5E28E7AB" w14:textId="77777777" w:rsidR="005B34CB" w:rsidRPr="006258E5" w:rsidRDefault="005B34CB" w:rsidP="005B34CB">
            <w:pPr>
              <w:autoSpaceDE w:val="0"/>
              <w:autoSpaceDN w:val="0"/>
              <w:adjustRightInd w:val="0"/>
              <w:spacing w:line="340" w:lineRule="atLeast"/>
              <w:jc w:val="center"/>
              <w:rPr>
                <w:spacing w:val="-2"/>
                <w:sz w:val="18"/>
                <w:szCs w:val="18"/>
                <w:lang w:val="ro-RO"/>
              </w:rPr>
            </w:pPr>
            <w:r w:rsidRPr="006258E5">
              <w:rPr>
                <w:b/>
                <w:spacing w:val="-2"/>
                <w:sz w:val="18"/>
                <w:szCs w:val="18"/>
                <w:lang w:val="ro-RO"/>
              </w:rPr>
              <w:t>Activităţi de informare publică privind elaborarea şi implementarea proiectului de act normativ</w:t>
            </w:r>
          </w:p>
        </w:tc>
      </w:tr>
      <w:tr w:rsidR="005B34CB" w:rsidRPr="006258E5" w14:paraId="064DF97F" w14:textId="77777777" w:rsidTr="60891C03">
        <w:tc>
          <w:tcPr>
            <w:tcW w:w="4500" w:type="dxa"/>
            <w:gridSpan w:val="3"/>
          </w:tcPr>
          <w:p w14:paraId="28F4F597"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1. Informarea societăţii civile cu privire la necesitatea elaborării proiectului de act normativ</w:t>
            </w:r>
          </w:p>
        </w:tc>
        <w:tc>
          <w:tcPr>
            <w:tcW w:w="5371" w:type="dxa"/>
            <w:gridSpan w:val="6"/>
          </w:tcPr>
          <w:p w14:paraId="587E74A6" w14:textId="77777777" w:rsidR="005B34CB" w:rsidRPr="006258E5" w:rsidRDefault="005B34CB" w:rsidP="005B34CB">
            <w:pPr>
              <w:autoSpaceDE w:val="0"/>
              <w:autoSpaceDN w:val="0"/>
              <w:adjustRightInd w:val="0"/>
              <w:spacing w:line="340" w:lineRule="atLeast"/>
              <w:jc w:val="both"/>
              <w:rPr>
                <w:sz w:val="18"/>
                <w:szCs w:val="18"/>
                <w:lang w:val="ro-RO"/>
              </w:rPr>
            </w:pPr>
          </w:p>
        </w:tc>
      </w:tr>
      <w:tr w:rsidR="005B34CB" w:rsidRPr="006258E5" w14:paraId="538CD47B" w14:textId="77777777" w:rsidTr="60891C03">
        <w:tc>
          <w:tcPr>
            <w:tcW w:w="4500" w:type="dxa"/>
            <w:gridSpan w:val="3"/>
          </w:tcPr>
          <w:p w14:paraId="786933E8"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2. Informarea societăţii civile cu privire la eventualul impact asupra mediului în urma implementării proiectului de act normativ, precum şi efectele asupra sănătăţii şi securităţii cetăţenilor sau diversităţii biologice</w:t>
            </w:r>
          </w:p>
        </w:tc>
        <w:tc>
          <w:tcPr>
            <w:tcW w:w="5371" w:type="dxa"/>
            <w:gridSpan w:val="6"/>
          </w:tcPr>
          <w:p w14:paraId="76F94303" w14:textId="77777777" w:rsidR="005B34CB" w:rsidRPr="006258E5" w:rsidRDefault="005B34CB" w:rsidP="005B34CB">
            <w:pPr>
              <w:spacing w:line="340" w:lineRule="atLeast"/>
              <w:jc w:val="both"/>
              <w:rPr>
                <w:sz w:val="18"/>
                <w:szCs w:val="18"/>
                <w:lang w:val="ro-RO"/>
              </w:rPr>
            </w:pPr>
          </w:p>
        </w:tc>
      </w:tr>
      <w:tr w:rsidR="005B34CB" w:rsidRPr="006258E5" w14:paraId="6499CC88" w14:textId="77777777" w:rsidTr="60891C03">
        <w:tc>
          <w:tcPr>
            <w:tcW w:w="4500" w:type="dxa"/>
            <w:gridSpan w:val="3"/>
          </w:tcPr>
          <w:p w14:paraId="5CC05F67"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3. Alte informații</w:t>
            </w:r>
          </w:p>
        </w:tc>
        <w:tc>
          <w:tcPr>
            <w:tcW w:w="5371" w:type="dxa"/>
            <w:gridSpan w:val="6"/>
          </w:tcPr>
          <w:p w14:paraId="5B18E1C3" w14:textId="77777777" w:rsidR="005B34CB" w:rsidRPr="006258E5" w:rsidRDefault="005B34CB" w:rsidP="005B34CB">
            <w:pPr>
              <w:spacing w:line="340" w:lineRule="atLeast"/>
              <w:jc w:val="both"/>
              <w:rPr>
                <w:sz w:val="18"/>
                <w:szCs w:val="18"/>
                <w:lang w:val="ro-RO"/>
              </w:rPr>
            </w:pPr>
          </w:p>
        </w:tc>
      </w:tr>
      <w:tr w:rsidR="005B34CB" w:rsidRPr="006258E5" w14:paraId="4153118F" w14:textId="77777777" w:rsidTr="60891C03">
        <w:trPr>
          <w:trHeight w:val="706"/>
        </w:trPr>
        <w:tc>
          <w:tcPr>
            <w:tcW w:w="9871" w:type="dxa"/>
            <w:gridSpan w:val="9"/>
          </w:tcPr>
          <w:p w14:paraId="7B485D50" w14:textId="77777777" w:rsidR="005B34CB" w:rsidRPr="006258E5" w:rsidRDefault="005B34CB" w:rsidP="005B34CB">
            <w:pPr>
              <w:autoSpaceDE w:val="0"/>
              <w:autoSpaceDN w:val="0"/>
              <w:adjustRightInd w:val="0"/>
              <w:spacing w:line="340" w:lineRule="atLeast"/>
              <w:jc w:val="center"/>
              <w:rPr>
                <w:b/>
                <w:sz w:val="18"/>
                <w:szCs w:val="18"/>
                <w:lang w:val="ro-RO"/>
              </w:rPr>
            </w:pPr>
            <w:r w:rsidRPr="006258E5">
              <w:rPr>
                <w:b/>
                <w:sz w:val="18"/>
                <w:szCs w:val="18"/>
                <w:lang w:val="ro-RO"/>
              </w:rPr>
              <w:t>Secţiunea a 8-a</w:t>
            </w:r>
          </w:p>
          <w:p w14:paraId="2230B316" w14:textId="77777777" w:rsidR="005B34CB" w:rsidRPr="006258E5" w:rsidRDefault="005B34CB" w:rsidP="005B34CB">
            <w:pPr>
              <w:spacing w:line="340" w:lineRule="atLeast"/>
              <w:jc w:val="center"/>
              <w:rPr>
                <w:b/>
                <w:sz w:val="18"/>
                <w:szCs w:val="18"/>
                <w:lang w:val="ro-RO"/>
              </w:rPr>
            </w:pPr>
            <w:r w:rsidRPr="006258E5">
              <w:rPr>
                <w:b/>
                <w:sz w:val="18"/>
                <w:szCs w:val="18"/>
                <w:lang w:val="ro-RO"/>
              </w:rPr>
              <w:t>Măsuri de implementare</w:t>
            </w:r>
          </w:p>
        </w:tc>
      </w:tr>
      <w:tr w:rsidR="005B34CB" w:rsidRPr="006258E5" w14:paraId="56E079F4" w14:textId="77777777" w:rsidTr="60891C03">
        <w:tc>
          <w:tcPr>
            <w:tcW w:w="4500" w:type="dxa"/>
            <w:gridSpan w:val="3"/>
          </w:tcPr>
          <w:p w14:paraId="2AD56821"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1. Măsurile de punere în aplicare a proiectului de act normativ de către autorităţile administraţiei publice centrale şi/sau locale – înfiinţarea unor noi organisme sau extinderea competenţelor instituţiilor existente.</w:t>
            </w:r>
          </w:p>
        </w:tc>
        <w:tc>
          <w:tcPr>
            <w:tcW w:w="5371" w:type="dxa"/>
            <w:gridSpan w:val="6"/>
          </w:tcPr>
          <w:p w14:paraId="580870E9" w14:textId="77777777" w:rsidR="005B34CB" w:rsidRPr="006258E5" w:rsidRDefault="005B34CB" w:rsidP="005B34CB">
            <w:pPr>
              <w:spacing w:line="340" w:lineRule="atLeast"/>
              <w:jc w:val="both"/>
              <w:rPr>
                <w:sz w:val="18"/>
                <w:szCs w:val="18"/>
                <w:lang w:val="ro-RO"/>
              </w:rPr>
            </w:pPr>
          </w:p>
        </w:tc>
      </w:tr>
      <w:tr w:rsidR="005B34CB" w:rsidRPr="006258E5" w14:paraId="268740FA" w14:textId="77777777" w:rsidTr="60891C03">
        <w:tc>
          <w:tcPr>
            <w:tcW w:w="4500" w:type="dxa"/>
            <w:gridSpan w:val="3"/>
          </w:tcPr>
          <w:p w14:paraId="7CB36146" w14:textId="77777777" w:rsidR="005B34CB" w:rsidRPr="006258E5" w:rsidRDefault="005B34CB" w:rsidP="005B34CB">
            <w:pPr>
              <w:autoSpaceDE w:val="0"/>
              <w:autoSpaceDN w:val="0"/>
              <w:adjustRightInd w:val="0"/>
              <w:spacing w:line="340" w:lineRule="atLeast"/>
              <w:jc w:val="both"/>
              <w:rPr>
                <w:b/>
                <w:sz w:val="18"/>
                <w:szCs w:val="18"/>
                <w:lang w:val="ro-RO"/>
              </w:rPr>
            </w:pPr>
            <w:r w:rsidRPr="006258E5">
              <w:rPr>
                <w:b/>
                <w:sz w:val="18"/>
                <w:szCs w:val="18"/>
                <w:lang w:val="ro-RO"/>
              </w:rPr>
              <w:t>2. Alte informații</w:t>
            </w:r>
          </w:p>
        </w:tc>
        <w:tc>
          <w:tcPr>
            <w:tcW w:w="5371" w:type="dxa"/>
            <w:gridSpan w:val="6"/>
          </w:tcPr>
          <w:p w14:paraId="08A7C041" w14:textId="77777777" w:rsidR="005B34CB" w:rsidRPr="006258E5" w:rsidRDefault="005B34CB" w:rsidP="005B34CB">
            <w:pPr>
              <w:spacing w:line="340" w:lineRule="atLeast"/>
              <w:jc w:val="both"/>
              <w:rPr>
                <w:sz w:val="18"/>
                <w:szCs w:val="18"/>
                <w:lang w:val="ro-RO"/>
              </w:rPr>
            </w:pPr>
          </w:p>
        </w:tc>
      </w:tr>
    </w:tbl>
    <w:p w14:paraId="2DD4759D" w14:textId="77777777" w:rsidR="008D25DC" w:rsidRPr="006258E5" w:rsidRDefault="008D25DC" w:rsidP="008D25DC">
      <w:pPr>
        <w:pStyle w:val="Default"/>
        <w:spacing w:line="340" w:lineRule="atLeast"/>
        <w:jc w:val="both"/>
        <w:rPr>
          <w:color w:val="auto"/>
          <w:sz w:val="18"/>
          <w:szCs w:val="18"/>
          <w:lang w:val="ro-RO"/>
        </w:rPr>
      </w:pPr>
      <w:r w:rsidRPr="006258E5">
        <w:rPr>
          <w:color w:val="auto"/>
          <w:sz w:val="18"/>
          <w:szCs w:val="18"/>
          <w:lang w:val="ro-RO"/>
        </w:rPr>
        <w:t xml:space="preserve">       </w:t>
      </w:r>
    </w:p>
    <w:p w14:paraId="38732A20" w14:textId="7ED1508A" w:rsidR="00CC0271" w:rsidRDefault="00CC0271" w:rsidP="008D25DC">
      <w:pPr>
        <w:spacing w:after="120" w:line="276" w:lineRule="auto"/>
        <w:ind w:firstLine="720"/>
        <w:jc w:val="both"/>
        <w:rPr>
          <w:b/>
          <w:bCs/>
          <w:color w:val="000000"/>
          <w:lang w:val="ro-RO"/>
        </w:rPr>
      </w:pPr>
    </w:p>
    <w:p w14:paraId="3F0BC168" w14:textId="4107959D" w:rsidR="008B0808" w:rsidRDefault="008B0808" w:rsidP="008D25DC">
      <w:pPr>
        <w:spacing w:after="120" w:line="276" w:lineRule="auto"/>
        <w:ind w:firstLine="720"/>
        <w:jc w:val="both"/>
        <w:rPr>
          <w:b/>
          <w:bCs/>
          <w:color w:val="000000"/>
          <w:lang w:val="ro-RO"/>
        </w:rPr>
      </w:pPr>
    </w:p>
    <w:p w14:paraId="5B0371EA" w14:textId="2E35FB98" w:rsidR="008B0808" w:rsidRDefault="008B0808" w:rsidP="008D25DC">
      <w:pPr>
        <w:spacing w:after="120" w:line="276" w:lineRule="auto"/>
        <w:ind w:firstLine="720"/>
        <w:jc w:val="both"/>
        <w:rPr>
          <w:b/>
          <w:bCs/>
          <w:color w:val="000000"/>
          <w:lang w:val="ro-RO"/>
        </w:rPr>
      </w:pPr>
    </w:p>
    <w:p w14:paraId="6801CB09" w14:textId="27D709CA" w:rsidR="008B0808" w:rsidRDefault="008B0808" w:rsidP="008D25DC">
      <w:pPr>
        <w:spacing w:after="120" w:line="276" w:lineRule="auto"/>
        <w:ind w:firstLine="720"/>
        <w:jc w:val="both"/>
        <w:rPr>
          <w:b/>
          <w:bCs/>
          <w:color w:val="000000"/>
          <w:lang w:val="ro-RO"/>
        </w:rPr>
      </w:pPr>
    </w:p>
    <w:p w14:paraId="7F9F44F9" w14:textId="1C26064F" w:rsidR="008B0808" w:rsidRDefault="008B0808" w:rsidP="008D25DC">
      <w:pPr>
        <w:spacing w:after="120" w:line="276" w:lineRule="auto"/>
        <w:ind w:firstLine="720"/>
        <w:jc w:val="both"/>
        <w:rPr>
          <w:b/>
          <w:bCs/>
          <w:color w:val="000000"/>
          <w:lang w:val="ro-RO"/>
        </w:rPr>
      </w:pPr>
    </w:p>
    <w:p w14:paraId="79CCD64B" w14:textId="77777777" w:rsidR="008B0808" w:rsidRPr="006258E5" w:rsidRDefault="008B0808" w:rsidP="008D25DC">
      <w:pPr>
        <w:spacing w:after="120" w:line="276" w:lineRule="auto"/>
        <w:ind w:firstLine="720"/>
        <w:jc w:val="both"/>
        <w:rPr>
          <w:b/>
          <w:bCs/>
          <w:color w:val="000000"/>
          <w:lang w:val="ro-RO"/>
        </w:rPr>
      </w:pPr>
    </w:p>
    <w:p w14:paraId="38239AC4" w14:textId="77777777" w:rsidR="00F053EF" w:rsidRDefault="00F053EF" w:rsidP="008D25DC">
      <w:pPr>
        <w:spacing w:after="120" w:line="276" w:lineRule="auto"/>
        <w:ind w:firstLine="720"/>
        <w:jc w:val="both"/>
        <w:rPr>
          <w:b/>
          <w:bCs/>
          <w:color w:val="000000"/>
          <w:lang w:val="ro-RO"/>
        </w:rPr>
      </w:pPr>
    </w:p>
    <w:p w14:paraId="4AB0C3C1" w14:textId="2E77772C" w:rsidR="008D25DC" w:rsidRPr="006258E5" w:rsidRDefault="008D25DC" w:rsidP="008D25DC">
      <w:pPr>
        <w:spacing w:after="120" w:line="276" w:lineRule="auto"/>
        <w:ind w:firstLine="720"/>
        <w:jc w:val="both"/>
        <w:rPr>
          <w:b/>
          <w:bCs/>
          <w:lang w:val="ro-RO"/>
        </w:rPr>
      </w:pPr>
      <w:r w:rsidRPr="006258E5">
        <w:rPr>
          <w:b/>
          <w:bCs/>
          <w:color w:val="000000"/>
          <w:lang w:val="ro-RO"/>
        </w:rPr>
        <w:t xml:space="preserve">Inițiatori: </w:t>
      </w:r>
    </w:p>
    <w:p w14:paraId="218DADAC" w14:textId="77777777" w:rsidR="00095D9E" w:rsidRPr="006258E5" w:rsidRDefault="00095D9E" w:rsidP="008D25DC">
      <w:pPr>
        <w:rPr>
          <w:sz w:val="18"/>
          <w:szCs w:val="18"/>
          <w:lang w:val="ro-RO"/>
        </w:rPr>
      </w:pPr>
    </w:p>
    <w:p w14:paraId="0C268C17" w14:textId="2214B8F8" w:rsidR="00CC51D4" w:rsidRPr="006258E5" w:rsidRDefault="00CC51D4" w:rsidP="008D25DC">
      <w:pPr>
        <w:jc w:val="center"/>
        <w:rPr>
          <w:b/>
          <w:sz w:val="18"/>
          <w:szCs w:val="18"/>
          <w:lang w:val="ro-RO"/>
        </w:rPr>
      </w:pPr>
    </w:p>
    <w:p w14:paraId="1008D258" w14:textId="3D7A420D" w:rsidR="00A81F4D" w:rsidRPr="006258E5" w:rsidRDefault="00A81F4D" w:rsidP="008D25DC">
      <w:pPr>
        <w:jc w:val="center"/>
        <w:rPr>
          <w:b/>
          <w:sz w:val="18"/>
          <w:szCs w:val="18"/>
          <w:lang w:val="ro-RO"/>
        </w:rPr>
      </w:pPr>
    </w:p>
    <w:tbl>
      <w:tblPr>
        <w:tblStyle w:val="TableGrid"/>
        <w:tblW w:w="0" w:type="auto"/>
        <w:tblLook w:val="04A0" w:firstRow="1" w:lastRow="0" w:firstColumn="1" w:lastColumn="0" w:noHBand="0" w:noVBand="1"/>
      </w:tblPr>
      <w:tblGrid>
        <w:gridCol w:w="4505"/>
        <w:gridCol w:w="4505"/>
      </w:tblGrid>
      <w:tr w:rsidR="00A81F4D" w:rsidRPr="006258E5" w14:paraId="404AAEC8" w14:textId="77777777" w:rsidTr="00A81F4D">
        <w:tc>
          <w:tcPr>
            <w:tcW w:w="4505" w:type="dxa"/>
          </w:tcPr>
          <w:p w14:paraId="66E1928B" w14:textId="1FEF6E16" w:rsidR="00A81F4D" w:rsidRPr="006258E5" w:rsidRDefault="00A81F4D" w:rsidP="008D25DC">
            <w:pPr>
              <w:jc w:val="center"/>
              <w:rPr>
                <w:b/>
                <w:sz w:val="18"/>
                <w:szCs w:val="18"/>
                <w:lang w:val="ro-RO"/>
              </w:rPr>
            </w:pPr>
            <w:r w:rsidRPr="006258E5">
              <w:rPr>
                <w:b/>
                <w:sz w:val="18"/>
                <w:szCs w:val="18"/>
                <w:lang w:val="ro-RO"/>
              </w:rPr>
              <w:t>Senator Nicolae - Ionel Ciucă</w:t>
            </w:r>
          </w:p>
          <w:p w14:paraId="362BF49A" w14:textId="77777777" w:rsidR="00A81F4D" w:rsidRPr="006258E5" w:rsidRDefault="00A81F4D" w:rsidP="008D25DC">
            <w:pPr>
              <w:jc w:val="center"/>
              <w:rPr>
                <w:b/>
                <w:sz w:val="18"/>
                <w:szCs w:val="18"/>
                <w:lang w:val="ro-RO"/>
              </w:rPr>
            </w:pPr>
          </w:p>
          <w:p w14:paraId="52E1AB24" w14:textId="77777777" w:rsidR="00A81F4D" w:rsidRPr="006258E5" w:rsidRDefault="00A81F4D" w:rsidP="008D25DC">
            <w:pPr>
              <w:jc w:val="center"/>
              <w:rPr>
                <w:b/>
                <w:sz w:val="18"/>
                <w:szCs w:val="18"/>
                <w:lang w:val="ro-RO"/>
              </w:rPr>
            </w:pPr>
          </w:p>
          <w:p w14:paraId="6A5E8770" w14:textId="71EA7B47" w:rsidR="00A81F4D" w:rsidRPr="006258E5" w:rsidRDefault="00A81F4D" w:rsidP="008D25DC">
            <w:pPr>
              <w:jc w:val="center"/>
              <w:rPr>
                <w:b/>
                <w:sz w:val="18"/>
                <w:szCs w:val="18"/>
                <w:lang w:val="ro-RO"/>
              </w:rPr>
            </w:pPr>
          </w:p>
          <w:p w14:paraId="4B8856BE" w14:textId="48748BEB" w:rsidR="00766186" w:rsidRPr="006258E5" w:rsidRDefault="00766186" w:rsidP="008D25DC">
            <w:pPr>
              <w:jc w:val="center"/>
              <w:rPr>
                <w:b/>
                <w:sz w:val="18"/>
                <w:szCs w:val="18"/>
                <w:lang w:val="ro-RO"/>
              </w:rPr>
            </w:pPr>
          </w:p>
          <w:p w14:paraId="3A28887E" w14:textId="4009269C" w:rsidR="00766186" w:rsidRPr="006258E5" w:rsidRDefault="00766186" w:rsidP="008D25DC">
            <w:pPr>
              <w:jc w:val="center"/>
              <w:rPr>
                <w:b/>
                <w:sz w:val="18"/>
                <w:szCs w:val="18"/>
                <w:lang w:val="ro-RO"/>
              </w:rPr>
            </w:pPr>
          </w:p>
          <w:p w14:paraId="3A1B0A89" w14:textId="3A6FF7C5" w:rsidR="00766186" w:rsidRPr="006258E5" w:rsidRDefault="00766186" w:rsidP="008D25DC">
            <w:pPr>
              <w:jc w:val="center"/>
              <w:rPr>
                <w:b/>
                <w:sz w:val="18"/>
                <w:szCs w:val="18"/>
                <w:lang w:val="ro-RO"/>
              </w:rPr>
            </w:pPr>
          </w:p>
          <w:p w14:paraId="74811DC6" w14:textId="59C1BE70" w:rsidR="00766186" w:rsidRPr="006258E5" w:rsidRDefault="00766186" w:rsidP="008D25DC">
            <w:pPr>
              <w:jc w:val="center"/>
              <w:rPr>
                <w:b/>
                <w:sz w:val="18"/>
                <w:szCs w:val="18"/>
                <w:lang w:val="ro-RO"/>
              </w:rPr>
            </w:pPr>
          </w:p>
          <w:p w14:paraId="78B3AB39" w14:textId="77777777" w:rsidR="00766186" w:rsidRPr="006258E5" w:rsidRDefault="00766186" w:rsidP="008D25DC">
            <w:pPr>
              <w:jc w:val="center"/>
              <w:rPr>
                <w:b/>
                <w:sz w:val="18"/>
                <w:szCs w:val="18"/>
                <w:lang w:val="ro-RO"/>
              </w:rPr>
            </w:pPr>
          </w:p>
          <w:p w14:paraId="28D1F87E" w14:textId="366F6410" w:rsidR="00A81F4D" w:rsidRPr="006258E5" w:rsidRDefault="00A81F4D" w:rsidP="008D25DC">
            <w:pPr>
              <w:jc w:val="center"/>
              <w:rPr>
                <w:b/>
                <w:sz w:val="18"/>
                <w:szCs w:val="18"/>
                <w:lang w:val="ro-RO"/>
              </w:rPr>
            </w:pPr>
          </w:p>
        </w:tc>
        <w:tc>
          <w:tcPr>
            <w:tcW w:w="4505" w:type="dxa"/>
          </w:tcPr>
          <w:p w14:paraId="1A36B857" w14:textId="3E21DB3E" w:rsidR="00A81F4D" w:rsidRPr="006258E5" w:rsidRDefault="00A81F4D" w:rsidP="008D25DC">
            <w:pPr>
              <w:jc w:val="center"/>
              <w:rPr>
                <w:b/>
                <w:sz w:val="18"/>
                <w:szCs w:val="18"/>
                <w:lang w:val="ro-RO"/>
              </w:rPr>
            </w:pPr>
            <w:r w:rsidRPr="006258E5">
              <w:rPr>
                <w:b/>
                <w:sz w:val="18"/>
                <w:szCs w:val="18"/>
                <w:lang w:val="ro-RO"/>
              </w:rPr>
              <w:t>Deputat Ion Marcel Ciolacu</w:t>
            </w:r>
          </w:p>
        </w:tc>
      </w:tr>
      <w:tr w:rsidR="00A81F4D" w:rsidRPr="006258E5" w14:paraId="23A90290" w14:textId="77777777" w:rsidTr="00A81F4D">
        <w:tc>
          <w:tcPr>
            <w:tcW w:w="4505" w:type="dxa"/>
          </w:tcPr>
          <w:p w14:paraId="2CFDDA2E" w14:textId="77777777" w:rsidR="00A81F4D" w:rsidRPr="006258E5" w:rsidRDefault="00A81F4D" w:rsidP="008D25DC">
            <w:pPr>
              <w:jc w:val="center"/>
              <w:rPr>
                <w:b/>
                <w:sz w:val="18"/>
                <w:szCs w:val="18"/>
                <w:lang w:val="ro-RO"/>
              </w:rPr>
            </w:pPr>
            <w:r w:rsidRPr="006258E5">
              <w:rPr>
                <w:b/>
                <w:sz w:val="18"/>
                <w:szCs w:val="18"/>
                <w:lang w:val="ro-RO"/>
              </w:rPr>
              <w:t>Deputat Kelemen Hunor</w:t>
            </w:r>
          </w:p>
          <w:p w14:paraId="4228E9E1" w14:textId="77777777" w:rsidR="00A81F4D" w:rsidRPr="006258E5" w:rsidRDefault="00A81F4D" w:rsidP="008D25DC">
            <w:pPr>
              <w:jc w:val="center"/>
              <w:rPr>
                <w:b/>
                <w:sz w:val="18"/>
                <w:szCs w:val="18"/>
                <w:lang w:val="ro-RO"/>
              </w:rPr>
            </w:pPr>
          </w:p>
          <w:p w14:paraId="60812B67" w14:textId="186033A3" w:rsidR="00A81F4D" w:rsidRPr="006258E5" w:rsidRDefault="00A81F4D" w:rsidP="008D25DC">
            <w:pPr>
              <w:jc w:val="center"/>
              <w:rPr>
                <w:b/>
                <w:sz w:val="18"/>
                <w:szCs w:val="18"/>
                <w:lang w:val="ro-RO"/>
              </w:rPr>
            </w:pPr>
          </w:p>
          <w:p w14:paraId="3DA9ADAF" w14:textId="3178F8A1" w:rsidR="00766186" w:rsidRPr="006258E5" w:rsidRDefault="00766186" w:rsidP="008D25DC">
            <w:pPr>
              <w:jc w:val="center"/>
              <w:rPr>
                <w:b/>
                <w:sz w:val="18"/>
                <w:szCs w:val="18"/>
                <w:lang w:val="ro-RO"/>
              </w:rPr>
            </w:pPr>
          </w:p>
          <w:p w14:paraId="08E6FB1A" w14:textId="203BDA48" w:rsidR="00766186" w:rsidRPr="006258E5" w:rsidRDefault="00766186" w:rsidP="008D25DC">
            <w:pPr>
              <w:jc w:val="center"/>
              <w:rPr>
                <w:b/>
                <w:sz w:val="18"/>
                <w:szCs w:val="18"/>
                <w:lang w:val="ro-RO"/>
              </w:rPr>
            </w:pPr>
          </w:p>
          <w:p w14:paraId="3331BAB9" w14:textId="15D51863" w:rsidR="00766186" w:rsidRPr="006258E5" w:rsidRDefault="00766186" w:rsidP="008D25DC">
            <w:pPr>
              <w:jc w:val="center"/>
              <w:rPr>
                <w:b/>
                <w:sz w:val="18"/>
                <w:szCs w:val="18"/>
                <w:lang w:val="ro-RO"/>
              </w:rPr>
            </w:pPr>
          </w:p>
          <w:p w14:paraId="2B1544E4" w14:textId="6A0097C5" w:rsidR="00766186" w:rsidRPr="006258E5" w:rsidRDefault="00766186" w:rsidP="008D25DC">
            <w:pPr>
              <w:jc w:val="center"/>
              <w:rPr>
                <w:b/>
                <w:sz w:val="18"/>
                <w:szCs w:val="18"/>
                <w:lang w:val="ro-RO"/>
              </w:rPr>
            </w:pPr>
          </w:p>
          <w:p w14:paraId="33CB6291" w14:textId="77777777" w:rsidR="00766186" w:rsidRPr="006258E5" w:rsidRDefault="00766186" w:rsidP="008D25DC">
            <w:pPr>
              <w:jc w:val="center"/>
              <w:rPr>
                <w:b/>
                <w:sz w:val="18"/>
                <w:szCs w:val="18"/>
                <w:lang w:val="ro-RO"/>
              </w:rPr>
            </w:pPr>
          </w:p>
          <w:p w14:paraId="1F052148" w14:textId="77777777" w:rsidR="00766186" w:rsidRPr="006258E5" w:rsidRDefault="00766186" w:rsidP="008D25DC">
            <w:pPr>
              <w:jc w:val="center"/>
              <w:rPr>
                <w:b/>
                <w:sz w:val="18"/>
                <w:szCs w:val="18"/>
                <w:lang w:val="ro-RO"/>
              </w:rPr>
            </w:pPr>
          </w:p>
          <w:p w14:paraId="0C200BF2" w14:textId="36A12E7C" w:rsidR="00A81F4D" w:rsidRPr="006258E5" w:rsidRDefault="00A81F4D" w:rsidP="008D25DC">
            <w:pPr>
              <w:jc w:val="center"/>
              <w:rPr>
                <w:b/>
                <w:sz w:val="18"/>
                <w:szCs w:val="18"/>
                <w:lang w:val="ro-RO"/>
              </w:rPr>
            </w:pPr>
          </w:p>
        </w:tc>
        <w:tc>
          <w:tcPr>
            <w:tcW w:w="4505" w:type="dxa"/>
          </w:tcPr>
          <w:p w14:paraId="4476FBDC" w14:textId="4C031EDF" w:rsidR="00A81F4D" w:rsidRPr="006258E5" w:rsidRDefault="00A81F4D" w:rsidP="008D25DC">
            <w:pPr>
              <w:jc w:val="center"/>
              <w:rPr>
                <w:b/>
                <w:sz w:val="18"/>
                <w:szCs w:val="18"/>
                <w:lang w:val="ro-RO"/>
              </w:rPr>
            </w:pPr>
            <w:r w:rsidRPr="006258E5">
              <w:rPr>
                <w:b/>
                <w:sz w:val="18"/>
                <w:szCs w:val="18"/>
                <w:lang w:val="ro-RO"/>
              </w:rPr>
              <w:t>Deputat Varujan Pambuccian</w:t>
            </w:r>
          </w:p>
        </w:tc>
      </w:tr>
      <w:tr w:rsidR="00A81F4D" w:rsidRPr="006258E5" w14:paraId="24F31C47" w14:textId="77777777" w:rsidTr="00A81F4D">
        <w:tc>
          <w:tcPr>
            <w:tcW w:w="4505" w:type="dxa"/>
          </w:tcPr>
          <w:p w14:paraId="34EC530B" w14:textId="77777777" w:rsidR="00A81F4D" w:rsidRPr="006258E5" w:rsidRDefault="00A81F4D" w:rsidP="008D25DC">
            <w:pPr>
              <w:jc w:val="center"/>
              <w:rPr>
                <w:b/>
                <w:sz w:val="18"/>
                <w:szCs w:val="18"/>
                <w:lang w:val="ro-RO"/>
              </w:rPr>
            </w:pPr>
            <w:r w:rsidRPr="006258E5">
              <w:rPr>
                <w:b/>
                <w:sz w:val="18"/>
                <w:szCs w:val="18"/>
                <w:lang w:val="ro-RO"/>
              </w:rPr>
              <w:t>Deputat Virgil – Daniel Popescu</w:t>
            </w:r>
          </w:p>
          <w:p w14:paraId="08A9823B" w14:textId="77777777" w:rsidR="00A81F4D" w:rsidRPr="006258E5" w:rsidRDefault="00A81F4D" w:rsidP="008D25DC">
            <w:pPr>
              <w:jc w:val="center"/>
              <w:rPr>
                <w:b/>
                <w:sz w:val="18"/>
                <w:szCs w:val="18"/>
                <w:lang w:val="ro-RO"/>
              </w:rPr>
            </w:pPr>
          </w:p>
          <w:p w14:paraId="144AF36C" w14:textId="22DA9BAD" w:rsidR="00A81F4D" w:rsidRPr="006258E5" w:rsidRDefault="00A81F4D" w:rsidP="008D25DC">
            <w:pPr>
              <w:jc w:val="center"/>
              <w:rPr>
                <w:b/>
                <w:sz w:val="18"/>
                <w:szCs w:val="18"/>
                <w:lang w:val="ro-RO"/>
              </w:rPr>
            </w:pPr>
          </w:p>
          <w:p w14:paraId="3793117E" w14:textId="1C913423" w:rsidR="00766186" w:rsidRPr="006258E5" w:rsidRDefault="00766186" w:rsidP="00766186">
            <w:pPr>
              <w:rPr>
                <w:b/>
                <w:sz w:val="18"/>
                <w:szCs w:val="18"/>
                <w:lang w:val="ro-RO"/>
              </w:rPr>
            </w:pPr>
          </w:p>
          <w:p w14:paraId="0989E5EE" w14:textId="0A468C51" w:rsidR="00766186" w:rsidRPr="006258E5" w:rsidRDefault="00766186" w:rsidP="00766186">
            <w:pPr>
              <w:rPr>
                <w:b/>
                <w:sz w:val="18"/>
                <w:szCs w:val="18"/>
                <w:lang w:val="ro-RO"/>
              </w:rPr>
            </w:pPr>
          </w:p>
          <w:p w14:paraId="4F81C363" w14:textId="40317D23" w:rsidR="00766186" w:rsidRPr="006258E5" w:rsidRDefault="00766186" w:rsidP="00766186">
            <w:pPr>
              <w:rPr>
                <w:b/>
                <w:sz w:val="18"/>
                <w:szCs w:val="18"/>
                <w:lang w:val="ro-RO"/>
              </w:rPr>
            </w:pPr>
          </w:p>
          <w:p w14:paraId="459A8F31" w14:textId="55741EB8" w:rsidR="00766186" w:rsidRPr="006258E5" w:rsidRDefault="00766186" w:rsidP="00766186">
            <w:pPr>
              <w:rPr>
                <w:b/>
                <w:sz w:val="18"/>
                <w:szCs w:val="18"/>
                <w:lang w:val="ro-RO"/>
              </w:rPr>
            </w:pPr>
          </w:p>
          <w:p w14:paraId="62CB6377" w14:textId="2FB3B847" w:rsidR="00766186" w:rsidRPr="006258E5" w:rsidRDefault="00766186" w:rsidP="00766186">
            <w:pPr>
              <w:rPr>
                <w:b/>
                <w:sz w:val="18"/>
                <w:szCs w:val="18"/>
                <w:lang w:val="ro-RO"/>
              </w:rPr>
            </w:pPr>
          </w:p>
          <w:p w14:paraId="1CB152CA" w14:textId="77777777" w:rsidR="00766186" w:rsidRPr="006258E5" w:rsidRDefault="00766186" w:rsidP="00766186">
            <w:pPr>
              <w:rPr>
                <w:b/>
                <w:sz w:val="18"/>
                <w:szCs w:val="18"/>
                <w:lang w:val="ro-RO"/>
              </w:rPr>
            </w:pPr>
          </w:p>
          <w:p w14:paraId="25D40769" w14:textId="69F5C31C" w:rsidR="00A81F4D" w:rsidRPr="006258E5" w:rsidRDefault="00A81F4D" w:rsidP="008D25DC">
            <w:pPr>
              <w:jc w:val="center"/>
              <w:rPr>
                <w:b/>
                <w:sz w:val="18"/>
                <w:szCs w:val="18"/>
                <w:lang w:val="ro-RO"/>
              </w:rPr>
            </w:pPr>
          </w:p>
        </w:tc>
        <w:tc>
          <w:tcPr>
            <w:tcW w:w="4505" w:type="dxa"/>
          </w:tcPr>
          <w:p w14:paraId="522D0A5B" w14:textId="77777777" w:rsidR="00A81F4D" w:rsidRPr="006258E5" w:rsidRDefault="00A81F4D" w:rsidP="008D25DC">
            <w:pPr>
              <w:jc w:val="center"/>
              <w:rPr>
                <w:b/>
                <w:sz w:val="18"/>
                <w:szCs w:val="18"/>
                <w:lang w:val="ro-RO"/>
              </w:rPr>
            </w:pPr>
          </w:p>
        </w:tc>
      </w:tr>
    </w:tbl>
    <w:p w14:paraId="0F785EB2" w14:textId="00EE4B2D" w:rsidR="00A81F4D" w:rsidRPr="006258E5" w:rsidRDefault="00A81F4D" w:rsidP="008D25DC">
      <w:pPr>
        <w:jc w:val="center"/>
        <w:rPr>
          <w:b/>
          <w:sz w:val="18"/>
          <w:szCs w:val="18"/>
          <w:lang w:val="ro-RO"/>
        </w:rPr>
      </w:pPr>
    </w:p>
    <w:p w14:paraId="50C6B3BF" w14:textId="44C35134" w:rsidR="00766186" w:rsidRPr="006258E5" w:rsidRDefault="00766186" w:rsidP="008D25DC">
      <w:pPr>
        <w:jc w:val="center"/>
        <w:rPr>
          <w:b/>
          <w:sz w:val="18"/>
          <w:szCs w:val="18"/>
          <w:lang w:val="ro-RO"/>
        </w:rPr>
      </w:pPr>
    </w:p>
    <w:p w14:paraId="140F0AC4" w14:textId="201CB0A3" w:rsidR="00B60411" w:rsidRPr="006258E5" w:rsidRDefault="00B60411" w:rsidP="008D25DC">
      <w:pPr>
        <w:jc w:val="center"/>
        <w:rPr>
          <w:b/>
          <w:sz w:val="18"/>
          <w:szCs w:val="18"/>
          <w:lang w:val="ro-RO"/>
        </w:rPr>
      </w:pPr>
    </w:p>
    <w:p w14:paraId="07B10FDF" w14:textId="2EBA8966" w:rsidR="00B60411" w:rsidRPr="006258E5" w:rsidRDefault="00B60411" w:rsidP="008D25DC">
      <w:pPr>
        <w:jc w:val="center"/>
        <w:rPr>
          <w:b/>
          <w:sz w:val="18"/>
          <w:szCs w:val="18"/>
          <w:lang w:val="ro-RO"/>
        </w:rPr>
      </w:pPr>
    </w:p>
    <w:p w14:paraId="4535C80D" w14:textId="3B4864D4" w:rsidR="00B60411" w:rsidRPr="006258E5" w:rsidRDefault="00B60411" w:rsidP="008D25DC">
      <w:pPr>
        <w:jc w:val="center"/>
        <w:rPr>
          <w:b/>
          <w:sz w:val="18"/>
          <w:szCs w:val="18"/>
          <w:lang w:val="ro-RO"/>
        </w:rPr>
      </w:pPr>
    </w:p>
    <w:p w14:paraId="6350E524" w14:textId="317384E6" w:rsidR="00B60411" w:rsidRPr="006258E5" w:rsidRDefault="00B60411" w:rsidP="008D25DC">
      <w:pPr>
        <w:jc w:val="center"/>
        <w:rPr>
          <w:b/>
          <w:sz w:val="18"/>
          <w:szCs w:val="18"/>
          <w:lang w:val="ro-RO"/>
        </w:rPr>
      </w:pPr>
    </w:p>
    <w:p w14:paraId="37BE37D5" w14:textId="1770BCC6" w:rsidR="00B60411" w:rsidRPr="006258E5" w:rsidRDefault="00B60411" w:rsidP="008D25DC">
      <w:pPr>
        <w:jc w:val="center"/>
        <w:rPr>
          <w:b/>
          <w:sz w:val="18"/>
          <w:szCs w:val="18"/>
          <w:lang w:val="ro-RO"/>
        </w:rPr>
      </w:pPr>
    </w:p>
    <w:p w14:paraId="5B06BBF7" w14:textId="2C65C9E0" w:rsidR="00B60411" w:rsidRPr="006258E5" w:rsidRDefault="00B60411" w:rsidP="008D25DC">
      <w:pPr>
        <w:jc w:val="center"/>
        <w:rPr>
          <w:b/>
          <w:sz w:val="18"/>
          <w:szCs w:val="18"/>
          <w:lang w:val="ro-RO"/>
        </w:rPr>
      </w:pPr>
    </w:p>
    <w:p w14:paraId="57FE535E" w14:textId="52D11171" w:rsidR="00B60411" w:rsidRPr="006258E5" w:rsidRDefault="00B60411" w:rsidP="008D25DC">
      <w:pPr>
        <w:jc w:val="center"/>
        <w:rPr>
          <w:b/>
          <w:sz w:val="18"/>
          <w:szCs w:val="18"/>
          <w:lang w:val="ro-RO"/>
        </w:rPr>
      </w:pPr>
    </w:p>
    <w:p w14:paraId="39970327" w14:textId="7160C69B" w:rsidR="00B60411" w:rsidRPr="006258E5" w:rsidRDefault="00B60411" w:rsidP="008D25DC">
      <w:pPr>
        <w:jc w:val="center"/>
        <w:rPr>
          <w:b/>
          <w:sz w:val="18"/>
          <w:szCs w:val="18"/>
          <w:lang w:val="ro-RO"/>
        </w:rPr>
      </w:pPr>
    </w:p>
    <w:p w14:paraId="28B0278A" w14:textId="08E99D19" w:rsidR="00B60411" w:rsidRPr="006258E5" w:rsidRDefault="00B60411" w:rsidP="008D25DC">
      <w:pPr>
        <w:jc w:val="center"/>
        <w:rPr>
          <w:b/>
          <w:sz w:val="18"/>
          <w:szCs w:val="18"/>
          <w:lang w:val="ro-RO"/>
        </w:rPr>
      </w:pPr>
    </w:p>
    <w:p w14:paraId="053C71E5" w14:textId="7AEA1F4D" w:rsidR="00B60411" w:rsidRPr="006258E5" w:rsidRDefault="00B60411" w:rsidP="008D25DC">
      <w:pPr>
        <w:jc w:val="center"/>
        <w:rPr>
          <w:b/>
          <w:sz w:val="18"/>
          <w:szCs w:val="18"/>
          <w:lang w:val="ro-RO"/>
        </w:rPr>
      </w:pPr>
    </w:p>
    <w:p w14:paraId="02BFC742" w14:textId="124BF33D" w:rsidR="00B60411" w:rsidRPr="006258E5" w:rsidRDefault="00B60411" w:rsidP="008D25DC">
      <w:pPr>
        <w:jc w:val="center"/>
        <w:rPr>
          <w:b/>
          <w:sz w:val="18"/>
          <w:szCs w:val="18"/>
          <w:lang w:val="ro-RO"/>
        </w:rPr>
      </w:pPr>
    </w:p>
    <w:p w14:paraId="06BF30DA" w14:textId="6FC1BC76" w:rsidR="00B60411" w:rsidRPr="006258E5" w:rsidRDefault="00B60411" w:rsidP="008D25DC">
      <w:pPr>
        <w:jc w:val="center"/>
        <w:rPr>
          <w:b/>
          <w:sz w:val="18"/>
          <w:szCs w:val="18"/>
          <w:lang w:val="ro-RO"/>
        </w:rPr>
      </w:pPr>
    </w:p>
    <w:p w14:paraId="7667ED94" w14:textId="0C124A91" w:rsidR="00B60411" w:rsidRPr="006258E5" w:rsidRDefault="00B60411" w:rsidP="008D25DC">
      <w:pPr>
        <w:jc w:val="center"/>
        <w:rPr>
          <w:b/>
          <w:sz w:val="18"/>
          <w:szCs w:val="18"/>
          <w:lang w:val="ro-RO"/>
        </w:rPr>
      </w:pPr>
    </w:p>
    <w:p w14:paraId="34C363A2" w14:textId="46D21837" w:rsidR="00B60411" w:rsidRPr="006258E5" w:rsidRDefault="00B60411" w:rsidP="008D25DC">
      <w:pPr>
        <w:jc w:val="center"/>
        <w:rPr>
          <w:b/>
          <w:sz w:val="18"/>
          <w:szCs w:val="18"/>
          <w:lang w:val="ro-RO"/>
        </w:rPr>
      </w:pPr>
    </w:p>
    <w:p w14:paraId="04F7D212" w14:textId="3242B915" w:rsidR="00B60411" w:rsidRPr="006258E5" w:rsidRDefault="00B60411" w:rsidP="008D25DC">
      <w:pPr>
        <w:jc w:val="center"/>
        <w:rPr>
          <w:b/>
          <w:sz w:val="18"/>
          <w:szCs w:val="18"/>
          <w:lang w:val="ro-RO"/>
        </w:rPr>
      </w:pPr>
    </w:p>
    <w:p w14:paraId="44C32B7A" w14:textId="0E67C0CA" w:rsidR="00B60411" w:rsidRPr="006258E5" w:rsidRDefault="00B60411" w:rsidP="008D25DC">
      <w:pPr>
        <w:jc w:val="center"/>
        <w:rPr>
          <w:b/>
          <w:sz w:val="18"/>
          <w:szCs w:val="18"/>
          <w:lang w:val="ro-RO"/>
        </w:rPr>
      </w:pPr>
    </w:p>
    <w:p w14:paraId="3D5BB437" w14:textId="021D699E" w:rsidR="00B60411" w:rsidRPr="006258E5" w:rsidRDefault="00B60411" w:rsidP="008D25DC">
      <w:pPr>
        <w:jc w:val="center"/>
        <w:rPr>
          <w:b/>
          <w:sz w:val="18"/>
          <w:szCs w:val="18"/>
          <w:lang w:val="ro-RO"/>
        </w:rPr>
      </w:pPr>
    </w:p>
    <w:p w14:paraId="2E22AC6F" w14:textId="033DECC7" w:rsidR="00B60411" w:rsidRPr="006258E5" w:rsidRDefault="00B60411" w:rsidP="008D25DC">
      <w:pPr>
        <w:jc w:val="center"/>
        <w:rPr>
          <w:b/>
          <w:sz w:val="18"/>
          <w:szCs w:val="18"/>
          <w:lang w:val="ro-RO"/>
        </w:rPr>
      </w:pPr>
    </w:p>
    <w:p w14:paraId="3756D71B" w14:textId="1986FF9A" w:rsidR="00B60411" w:rsidRPr="006258E5" w:rsidRDefault="00B60411" w:rsidP="008B0808">
      <w:pPr>
        <w:rPr>
          <w:b/>
          <w:sz w:val="18"/>
          <w:szCs w:val="18"/>
          <w:lang w:val="ro-RO"/>
        </w:rPr>
      </w:pPr>
    </w:p>
    <w:p w14:paraId="70F78C13" w14:textId="63C5B8ED" w:rsidR="00B60411" w:rsidRPr="006258E5" w:rsidRDefault="00B60411" w:rsidP="009723AA">
      <w:pPr>
        <w:rPr>
          <w:b/>
          <w:sz w:val="18"/>
          <w:szCs w:val="18"/>
          <w:lang w:val="ro-RO"/>
        </w:rPr>
      </w:pPr>
    </w:p>
    <w:p w14:paraId="49E011C6" w14:textId="77777777" w:rsidR="00CC51D4" w:rsidRPr="006258E5" w:rsidRDefault="00CC51D4" w:rsidP="008B0808">
      <w:pPr>
        <w:rPr>
          <w:b/>
          <w:sz w:val="18"/>
          <w:szCs w:val="18"/>
          <w:lang w:val="ro-RO"/>
        </w:rPr>
      </w:pPr>
    </w:p>
    <w:p w14:paraId="754D7C8B" w14:textId="3DD906A1" w:rsidR="008D25DC" w:rsidRPr="006258E5" w:rsidRDefault="008D25DC" w:rsidP="008D25DC">
      <w:pPr>
        <w:jc w:val="center"/>
        <w:rPr>
          <w:b/>
          <w:sz w:val="18"/>
          <w:szCs w:val="18"/>
          <w:lang w:val="ro-RO"/>
        </w:rPr>
      </w:pPr>
      <w:r w:rsidRPr="006258E5">
        <w:rPr>
          <w:b/>
          <w:sz w:val="18"/>
          <w:szCs w:val="18"/>
          <w:lang w:val="ro-RO"/>
        </w:rPr>
        <w:t>LEGE</w:t>
      </w:r>
    </w:p>
    <w:p w14:paraId="5F9D882C" w14:textId="77777777" w:rsidR="00B60411" w:rsidRPr="006258E5" w:rsidRDefault="008D25DC" w:rsidP="008D25DC">
      <w:pPr>
        <w:jc w:val="center"/>
        <w:rPr>
          <w:b/>
          <w:sz w:val="18"/>
          <w:szCs w:val="18"/>
          <w:lang w:val="ro-RO"/>
        </w:rPr>
      </w:pPr>
      <w:r w:rsidRPr="006258E5">
        <w:rPr>
          <w:b/>
          <w:sz w:val="18"/>
          <w:szCs w:val="18"/>
          <w:lang w:val="ro-RO"/>
        </w:rPr>
        <w:t xml:space="preserve">Pentru modificarea și completarea Legii nr. </w:t>
      </w:r>
      <w:r w:rsidR="005642C1" w:rsidRPr="006258E5">
        <w:rPr>
          <w:b/>
          <w:sz w:val="18"/>
          <w:szCs w:val="18"/>
          <w:lang w:val="ro-RO"/>
        </w:rPr>
        <w:t>256</w:t>
      </w:r>
      <w:r w:rsidRPr="006258E5">
        <w:rPr>
          <w:b/>
          <w:sz w:val="18"/>
          <w:szCs w:val="18"/>
          <w:lang w:val="ro-RO"/>
        </w:rPr>
        <w:t>/</w:t>
      </w:r>
      <w:r w:rsidR="005642C1" w:rsidRPr="006258E5">
        <w:rPr>
          <w:b/>
          <w:sz w:val="18"/>
          <w:szCs w:val="18"/>
          <w:lang w:val="ro-RO"/>
        </w:rPr>
        <w:t>2018</w:t>
      </w:r>
      <w:r w:rsidR="00C36C52" w:rsidRPr="006258E5">
        <w:rPr>
          <w:b/>
          <w:sz w:val="18"/>
          <w:szCs w:val="18"/>
          <w:lang w:val="ro-RO"/>
        </w:rPr>
        <w:t xml:space="preserve"> privind unele măsuri necesare pentru implementarea operaţiunilor petroliere de către titularii de acorduri petroliere referitoare la perimetre petroliere offshore</w:t>
      </w:r>
      <w:r w:rsidR="00584881" w:rsidRPr="006258E5">
        <w:rPr>
          <w:b/>
          <w:sz w:val="18"/>
          <w:szCs w:val="18"/>
          <w:lang w:val="ro-RO"/>
        </w:rPr>
        <w:t xml:space="preserve"> </w:t>
      </w:r>
    </w:p>
    <w:p w14:paraId="4F7F9703" w14:textId="77777777" w:rsidR="008D25DC" w:rsidRPr="006258E5" w:rsidRDefault="008D25DC" w:rsidP="008D25DC">
      <w:pPr>
        <w:jc w:val="center"/>
        <w:rPr>
          <w:b/>
          <w:sz w:val="18"/>
          <w:szCs w:val="18"/>
          <w:lang w:val="ro-RO"/>
        </w:rPr>
      </w:pPr>
    </w:p>
    <w:p w14:paraId="6CD12275" w14:textId="77777777" w:rsidR="008D25DC" w:rsidRPr="006258E5" w:rsidRDefault="008D25DC" w:rsidP="008D25DC">
      <w:pPr>
        <w:rPr>
          <w:sz w:val="18"/>
          <w:szCs w:val="18"/>
          <w:lang w:val="ro-RO"/>
        </w:rPr>
      </w:pPr>
      <w:r w:rsidRPr="006258E5">
        <w:rPr>
          <w:sz w:val="18"/>
          <w:szCs w:val="18"/>
          <w:lang w:val="ro-RO"/>
        </w:rPr>
        <w:t>Parlamentul României adoptă prezenta lege</w:t>
      </w:r>
    </w:p>
    <w:p w14:paraId="2E23D093" w14:textId="77777777" w:rsidR="008D25DC" w:rsidRPr="006258E5" w:rsidRDefault="008D25DC" w:rsidP="008D25DC">
      <w:pPr>
        <w:rPr>
          <w:sz w:val="18"/>
          <w:szCs w:val="18"/>
          <w:lang w:val="ro-RO"/>
        </w:rPr>
      </w:pPr>
    </w:p>
    <w:p w14:paraId="2F056ACD" w14:textId="5A46CA3C" w:rsidR="008D25DC" w:rsidRPr="006258E5" w:rsidRDefault="008D25DC" w:rsidP="008D25DC">
      <w:pPr>
        <w:rPr>
          <w:b/>
          <w:sz w:val="18"/>
          <w:szCs w:val="18"/>
          <w:lang w:val="ro-RO"/>
        </w:rPr>
      </w:pPr>
      <w:r w:rsidRPr="006258E5">
        <w:rPr>
          <w:b/>
          <w:sz w:val="18"/>
          <w:szCs w:val="18"/>
          <w:lang w:val="ro-RO"/>
        </w:rPr>
        <w:t xml:space="preserve">Articol </w:t>
      </w:r>
      <w:r w:rsidR="00584881" w:rsidRPr="006258E5">
        <w:rPr>
          <w:b/>
          <w:sz w:val="18"/>
          <w:szCs w:val="18"/>
          <w:lang w:val="ro-RO"/>
        </w:rPr>
        <w:t>I</w:t>
      </w:r>
      <w:r w:rsidRPr="006258E5">
        <w:rPr>
          <w:b/>
          <w:sz w:val="18"/>
          <w:szCs w:val="18"/>
          <w:lang w:val="ro-RO"/>
        </w:rPr>
        <w:t>:</w:t>
      </w:r>
    </w:p>
    <w:p w14:paraId="7DDEF450" w14:textId="4CA2822C" w:rsidR="008D25DC" w:rsidRPr="006258E5" w:rsidRDefault="008D25DC" w:rsidP="008D25DC">
      <w:pPr>
        <w:rPr>
          <w:sz w:val="18"/>
          <w:szCs w:val="18"/>
          <w:lang w:val="ro-RO"/>
        </w:rPr>
      </w:pPr>
      <w:r w:rsidRPr="006258E5">
        <w:rPr>
          <w:sz w:val="18"/>
          <w:szCs w:val="18"/>
          <w:lang w:val="ro-RO"/>
        </w:rPr>
        <w:t xml:space="preserve">Legea nr. </w:t>
      </w:r>
      <w:r w:rsidR="00EF0389" w:rsidRPr="006258E5">
        <w:rPr>
          <w:sz w:val="18"/>
          <w:szCs w:val="18"/>
          <w:lang w:val="ro-RO"/>
        </w:rPr>
        <w:t>256</w:t>
      </w:r>
      <w:r w:rsidRPr="006258E5">
        <w:rPr>
          <w:sz w:val="18"/>
          <w:szCs w:val="18"/>
          <w:lang w:val="ro-RO"/>
        </w:rPr>
        <w:t>/</w:t>
      </w:r>
      <w:r w:rsidR="00EF0389" w:rsidRPr="006258E5">
        <w:rPr>
          <w:sz w:val="18"/>
          <w:szCs w:val="18"/>
          <w:lang w:val="ro-RO"/>
        </w:rPr>
        <w:t xml:space="preserve">2018 </w:t>
      </w:r>
      <w:r w:rsidRPr="006258E5">
        <w:rPr>
          <w:sz w:val="18"/>
          <w:szCs w:val="18"/>
          <w:lang w:val="ro-RO"/>
        </w:rPr>
        <w:t xml:space="preserve">privind </w:t>
      </w:r>
      <w:r w:rsidR="00EF0389" w:rsidRPr="006258E5">
        <w:rPr>
          <w:sz w:val="18"/>
          <w:szCs w:val="18"/>
          <w:lang w:val="ro-RO"/>
        </w:rPr>
        <w:t>unele măsuri necesare pentru implementarea operațiunilor petroliere de către titularii de acorduri petroliere referitoare la perimetre petroliere offshore</w:t>
      </w:r>
      <w:r w:rsidRPr="006258E5">
        <w:rPr>
          <w:sz w:val="18"/>
          <w:szCs w:val="18"/>
          <w:lang w:val="ro-RO"/>
        </w:rPr>
        <w:t xml:space="preserve">, publicată în Monitorul Oficial al României, Partea I, nr. </w:t>
      </w:r>
      <w:r w:rsidR="003651CE" w:rsidRPr="006258E5">
        <w:rPr>
          <w:sz w:val="18"/>
          <w:szCs w:val="18"/>
          <w:lang w:val="ro-RO"/>
        </w:rPr>
        <w:t>984</w:t>
      </w:r>
      <w:r w:rsidRPr="006258E5">
        <w:rPr>
          <w:sz w:val="18"/>
          <w:szCs w:val="18"/>
          <w:lang w:val="ro-RO"/>
        </w:rPr>
        <w:t xml:space="preserve"> din </w:t>
      </w:r>
      <w:r w:rsidR="003651CE" w:rsidRPr="006258E5">
        <w:rPr>
          <w:sz w:val="18"/>
          <w:szCs w:val="18"/>
          <w:lang w:val="ro-RO"/>
        </w:rPr>
        <w:t>14.11.2018</w:t>
      </w:r>
      <w:r w:rsidRPr="006258E5">
        <w:rPr>
          <w:sz w:val="18"/>
          <w:szCs w:val="18"/>
          <w:lang w:val="ro-RO"/>
        </w:rPr>
        <w:t xml:space="preserve">, cu modificările și completările ulterioare, se modifică </w:t>
      </w:r>
      <w:r w:rsidR="00761B56" w:rsidRPr="006258E5">
        <w:rPr>
          <w:sz w:val="18"/>
          <w:szCs w:val="18"/>
          <w:lang w:val="ro-RO"/>
        </w:rPr>
        <w:t xml:space="preserve">și se completează </w:t>
      </w:r>
      <w:r w:rsidRPr="006258E5">
        <w:rPr>
          <w:sz w:val="18"/>
          <w:szCs w:val="18"/>
          <w:lang w:val="ro-RO"/>
        </w:rPr>
        <w:t>după cum urmează:</w:t>
      </w:r>
    </w:p>
    <w:p w14:paraId="6D4FA9F4" w14:textId="77777777" w:rsidR="008D25DC" w:rsidRPr="006258E5" w:rsidRDefault="008D25DC" w:rsidP="008D25DC">
      <w:pPr>
        <w:rPr>
          <w:b/>
          <w:bCs/>
          <w:sz w:val="18"/>
          <w:szCs w:val="18"/>
          <w:lang w:val="ro-RO"/>
        </w:rPr>
      </w:pPr>
    </w:p>
    <w:p w14:paraId="5343B028" w14:textId="7F05ABCF" w:rsidR="005F54D8" w:rsidRPr="006258E5" w:rsidRDefault="005F54D8" w:rsidP="005F54D8">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 xml:space="preserve">Articolul 1 se modifică și se completează și va avea următorul conținut: </w:t>
      </w:r>
    </w:p>
    <w:p w14:paraId="5977390C" w14:textId="77777777" w:rsidR="005F54D8" w:rsidRPr="006258E5" w:rsidRDefault="005F54D8" w:rsidP="005F54D8">
      <w:pPr>
        <w:ind w:left="360"/>
        <w:jc w:val="both"/>
        <w:rPr>
          <w:sz w:val="18"/>
          <w:szCs w:val="18"/>
          <w:lang w:val="ro-RO"/>
        </w:rPr>
      </w:pPr>
    </w:p>
    <w:p w14:paraId="66C9C61F" w14:textId="0001A658" w:rsidR="005F54D8" w:rsidRPr="006258E5" w:rsidRDefault="005F54D8" w:rsidP="005F54D8">
      <w:pPr>
        <w:ind w:left="360"/>
        <w:jc w:val="both"/>
        <w:rPr>
          <w:sz w:val="18"/>
          <w:szCs w:val="18"/>
          <w:lang w:val="ro-RO"/>
        </w:rPr>
      </w:pPr>
      <w:r w:rsidRPr="006258E5">
        <w:rPr>
          <w:sz w:val="18"/>
          <w:szCs w:val="18"/>
          <w:lang w:val="ro-RO"/>
        </w:rPr>
        <w:t>„Art.1.(1)Prezenta lege stabileşte unele măsuri necesare pentru implementarea operaţiunilor petroliere de explorare, dezvoltare, exploatare a zăcămintelor de petrol şi de abandonare, precum şi a lucrărilor/lucrărilor la sonde aferente operaţiunilor petroliere, desfăşurate de titularii de acorduri petroliere cu privire la perimetrele petroliere offshore și onshore de adâncime, în conformitate cu prevederile acordurilor petroliere încheiate între titulari şi Agenţia Naţională pentru Resurse Minerale, denumită în continuare ANRM.</w:t>
      </w:r>
    </w:p>
    <w:p w14:paraId="65C27A10" w14:textId="3F48CAC2" w:rsidR="005F54D8" w:rsidRPr="006258E5" w:rsidRDefault="005F54D8" w:rsidP="005F54D8">
      <w:pPr>
        <w:ind w:left="360"/>
        <w:jc w:val="both"/>
        <w:rPr>
          <w:sz w:val="18"/>
          <w:szCs w:val="18"/>
          <w:lang w:val="ro-RO"/>
        </w:rPr>
      </w:pPr>
      <w:r w:rsidRPr="006258E5">
        <w:rPr>
          <w:sz w:val="18"/>
          <w:szCs w:val="18"/>
          <w:lang w:val="ro-RO"/>
        </w:rPr>
        <w:t>(2)În situaţia în care un titular este parte la un acord petrolier care se referă atât la perimetre petroliere localizate pe uscat, cât şi la perimetre petroliere offshore sau are calitatea de titular atât al unui/unor acord/acorduri petrolier/petroliere care se referă la perimetre petroliere localizate pe uscat, cât şi la perimetre petroliere offshore, prevederile prezentei legi se aplică numai referitor la operaţiunile petroliere desfăşurate cu privire la perimetrele petroliere offshore și onshore de adâncime. „</w:t>
      </w:r>
    </w:p>
    <w:p w14:paraId="6B56F847" w14:textId="77777777" w:rsidR="005F54D8" w:rsidRPr="006258E5" w:rsidRDefault="005F54D8" w:rsidP="005F54D8">
      <w:pPr>
        <w:pStyle w:val="ListParagraph"/>
        <w:spacing w:after="200" w:line="276" w:lineRule="auto"/>
        <w:jc w:val="both"/>
        <w:rPr>
          <w:rFonts w:ascii="Times New Roman" w:hAnsi="Times New Roman" w:cs="Times New Roman"/>
          <w:b/>
          <w:bCs/>
          <w:sz w:val="18"/>
          <w:szCs w:val="18"/>
          <w:lang w:val="ro-RO"/>
        </w:rPr>
      </w:pPr>
    </w:p>
    <w:p w14:paraId="0E3921D0" w14:textId="416A4CCF" w:rsidR="00B7788A" w:rsidRPr="006258E5" w:rsidRDefault="6D0EB5A1" w:rsidP="00B7788A">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 xml:space="preserve">La </w:t>
      </w:r>
      <w:r w:rsidR="5BCA644B" w:rsidRPr="006258E5">
        <w:rPr>
          <w:rFonts w:ascii="Times New Roman" w:hAnsi="Times New Roman" w:cs="Times New Roman"/>
          <w:b/>
          <w:bCs/>
          <w:sz w:val="18"/>
          <w:szCs w:val="18"/>
          <w:lang w:val="ro-RO"/>
        </w:rPr>
        <w:t>articolul</w:t>
      </w:r>
      <w:r w:rsidRPr="006258E5">
        <w:rPr>
          <w:rFonts w:ascii="Times New Roman" w:hAnsi="Times New Roman" w:cs="Times New Roman"/>
          <w:b/>
          <w:bCs/>
          <w:sz w:val="18"/>
          <w:szCs w:val="18"/>
          <w:lang w:val="ro-RO"/>
        </w:rPr>
        <w:t xml:space="preserve"> 2 alineatul (1), după litera l) se introduc </w:t>
      </w:r>
      <w:r w:rsidR="00B60411" w:rsidRPr="006258E5">
        <w:rPr>
          <w:rFonts w:ascii="Times New Roman" w:hAnsi="Times New Roman" w:cs="Times New Roman"/>
          <w:b/>
          <w:bCs/>
          <w:sz w:val="18"/>
          <w:szCs w:val="18"/>
          <w:lang w:val="ro-RO"/>
        </w:rPr>
        <w:t>cinci</w:t>
      </w:r>
      <w:r w:rsidRPr="006258E5">
        <w:rPr>
          <w:rFonts w:ascii="Times New Roman" w:hAnsi="Times New Roman" w:cs="Times New Roman"/>
          <w:b/>
          <w:bCs/>
          <w:sz w:val="18"/>
          <w:szCs w:val="18"/>
          <w:lang w:val="ro-RO"/>
        </w:rPr>
        <w:t xml:space="preserve"> noi litere, literele m), n), o) p)</w:t>
      </w:r>
      <w:r w:rsidR="00C650E5" w:rsidRPr="00C650E5">
        <w:rPr>
          <w:rFonts w:ascii="Times New Roman" w:hAnsi="Times New Roman" w:cs="Times New Roman"/>
          <w:b/>
          <w:bCs/>
          <w:sz w:val="18"/>
          <w:szCs w:val="18"/>
          <w:lang w:val="ro-RO"/>
        </w:rPr>
        <w:t xml:space="preserve"> </w:t>
      </w:r>
      <w:r w:rsidR="00C650E5" w:rsidRPr="006258E5">
        <w:rPr>
          <w:rFonts w:ascii="Times New Roman" w:hAnsi="Times New Roman" w:cs="Times New Roman"/>
          <w:b/>
          <w:bCs/>
          <w:sz w:val="18"/>
          <w:szCs w:val="18"/>
          <w:lang w:val="ro-RO"/>
        </w:rPr>
        <w:t>şi</w:t>
      </w:r>
      <w:r w:rsidR="00B60411" w:rsidRPr="006258E5">
        <w:rPr>
          <w:rFonts w:ascii="Times New Roman" w:hAnsi="Times New Roman" w:cs="Times New Roman"/>
          <w:b/>
          <w:bCs/>
          <w:sz w:val="18"/>
          <w:szCs w:val="18"/>
          <w:lang w:val="ro-RO"/>
        </w:rPr>
        <w:t xml:space="preserve"> r)</w:t>
      </w:r>
      <w:r w:rsidRPr="006258E5">
        <w:rPr>
          <w:rFonts w:ascii="Times New Roman" w:hAnsi="Times New Roman" w:cs="Times New Roman"/>
          <w:b/>
          <w:bCs/>
          <w:sz w:val="18"/>
          <w:szCs w:val="18"/>
          <w:lang w:val="ro-RO"/>
        </w:rPr>
        <w:t xml:space="preserve">, cu următorul cuprins: </w:t>
      </w:r>
    </w:p>
    <w:p w14:paraId="05E2CD71" w14:textId="49254E22" w:rsidR="00B7788A" w:rsidRPr="006258E5" w:rsidRDefault="00B7788A" w:rsidP="00B7788A">
      <w:pPr>
        <w:ind w:left="360"/>
        <w:jc w:val="both"/>
        <w:rPr>
          <w:sz w:val="18"/>
          <w:szCs w:val="18"/>
          <w:lang w:val="ro-RO"/>
        </w:rPr>
      </w:pPr>
      <w:r w:rsidRPr="006258E5">
        <w:rPr>
          <w:sz w:val="18"/>
          <w:szCs w:val="18"/>
          <w:lang w:val="ro-RO"/>
        </w:rPr>
        <w:t>„m) regimul fiscal specific aplicabil activităților de explorare, dezvoltare, exploatare şi abandonare include:</w:t>
      </w:r>
    </w:p>
    <w:p w14:paraId="68F01322" w14:textId="76ED9EDE" w:rsidR="00B7788A" w:rsidRPr="006258E5" w:rsidRDefault="00B7788A" w:rsidP="00C55C2C">
      <w:pPr>
        <w:pStyle w:val="ListParagraph"/>
        <w:numPr>
          <w:ilvl w:val="0"/>
          <w:numId w:val="18"/>
        </w:numPr>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impozitul asupra veniturilor suplimentare</w:t>
      </w:r>
      <w:r w:rsidR="00321EE3" w:rsidRPr="006258E5">
        <w:rPr>
          <w:rFonts w:ascii="Times New Roman" w:hAnsi="Times New Roman" w:cs="Times New Roman"/>
          <w:color w:val="000000" w:themeColor="text1"/>
          <w:sz w:val="18"/>
          <w:szCs w:val="18"/>
          <w:lang w:val="ro-RO"/>
        </w:rPr>
        <w:t xml:space="preserve"> </w:t>
      </w:r>
      <w:r w:rsidR="002A2C8F">
        <w:rPr>
          <w:rFonts w:ascii="Times New Roman" w:hAnsi="Times New Roman" w:cs="Times New Roman"/>
          <w:color w:val="000000" w:themeColor="text1"/>
          <w:sz w:val="18"/>
          <w:szCs w:val="18"/>
          <w:lang w:val="ro-RO"/>
        </w:rPr>
        <w:t>ob</w:t>
      </w:r>
      <w:r w:rsidR="002A2C8F" w:rsidRPr="006258E5">
        <w:rPr>
          <w:sz w:val="18"/>
          <w:szCs w:val="18"/>
          <w:lang w:val="ro-RO"/>
        </w:rPr>
        <w:t>ț</w:t>
      </w:r>
      <w:r w:rsidR="002A2C8F">
        <w:rPr>
          <w:rFonts w:ascii="Times New Roman" w:hAnsi="Times New Roman" w:cs="Times New Roman"/>
          <w:color w:val="000000" w:themeColor="text1"/>
          <w:sz w:val="18"/>
          <w:szCs w:val="18"/>
          <w:lang w:val="ro-RO"/>
        </w:rPr>
        <w:t xml:space="preserve">inut din </w:t>
      </w:r>
      <w:r w:rsidR="00321EE3" w:rsidRPr="006258E5">
        <w:rPr>
          <w:rFonts w:ascii="Times New Roman" w:hAnsi="Times New Roman" w:cs="Times New Roman"/>
          <w:color w:val="000000" w:themeColor="text1"/>
          <w:sz w:val="18"/>
          <w:szCs w:val="18"/>
          <w:lang w:val="ro-RO"/>
        </w:rPr>
        <w:t>perimetrele reglementate de prezenta lege</w:t>
      </w:r>
      <w:r w:rsidRPr="006258E5">
        <w:rPr>
          <w:rFonts w:ascii="Times New Roman" w:hAnsi="Times New Roman" w:cs="Times New Roman"/>
          <w:sz w:val="18"/>
          <w:szCs w:val="18"/>
          <w:lang w:val="ro-RO"/>
        </w:rPr>
        <w:t xml:space="preserve"> prevăzut la art. 19;</w:t>
      </w:r>
    </w:p>
    <w:p w14:paraId="24DB078C" w14:textId="77777777" w:rsidR="00C55C2C" w:rsidRPr="006258E5" w:rsidRDefault="00C55C2C" w:rsidP="00C55C2C">
      <w:pPr>
        <w:pStyle w:val="ListParagraph"/>
        <w:ind w:left="1788"/>
        <w:jc w:val="both"/>
        <w:rPr>
          <w:rFonts w:ascii="Times New Roman" w:hAnsi="Times New Roman" w:cs="Times New Roman"/>
          <w:sz w:val="18"/>
          <w:szCs w:val="18"/>
          <w:lang w:val="ro-RO"/>
        </w:rPr>
      </w:pPr>
    </w:p>
    <w:p w14:paraId="0B412688" w14:textId="2012870C" w:rsidR="00B7788A" w:rsidRPr="006258E5" w:rsidRDefault="00B7788A" w:rsidP="00B7788A">
      <w:pPr>
        <w:ind w:left="360"/>
        <w:jc w:val="both"/>
        <w:rPr>
          <w:sz w:val="18"/>
          <w:szCs w:val="18"/>
          <w:lang w:val="ro-RO"/>
        </w:rPr>
      </w:pPr>
      <w:r w:rsidRPr="006258E5">
        <w:rPr>
          <w:sz w:val="18"/>
          <w:szCs w:val="18"/>
          <w:lang w:val="ro-RO"/>
        </w:rPr>
        <w:t>n) regimul de redevențe include baza de calcul și metoda de calcul a redevenței petroliere, cotele procentuale de redevență petrolieră și pragurile de producție brută aferente acestor cote, reglementate de Legea petrolului nr. 238/2004 cu modificările și completările ulterioare, aplicabile la data de 1 ianuarie 2022;</w:t>
      </w:r>
    </w:p>
    <w:p w14:paraId="01D38BAA" w14:textId="77777777" w:rsidR="006258E5" w:rsidRPr="006258E5" w:rsidRDefault="006258E5" w:rsidP="00B7788A">
      <w:pPr>
        <w:ind w:left="360"/>
        <w:jc w:val="both"/>
        <w:rPr>
          <w:sz w:val="18"/>
          <w:szCs w:val="18"/>
          <w:lang w:val="ro-RO"/>
        </w:rPr>
      </w:pPr>
    </w:p>
    <w:p w14:paraId="5D6FDF95" w14:textId="24135BE4" w:rsidR="00B7788A" w:rsidRPr="006258E5" w:rsidRDefault="6D0EB5A1" w:rsidP="00B7788A">
      <w:pPr>
        <w:ind w:left="360"/>
        <w:jc w:val="both"/>
        <w:rPr>
          <w:sz w:val="18"/>
          <w:szCs w:val="18"/>
          <w:lang w:val="ro-RO"/>
        </w:rPr>
      </w:pPr>
      <w:r w:rsidRPr="006258E5">
        <w:rPr>
          <w:sz w:val="18"/>
          <w:szCs w:val="18"/>
          <w:lang w:val="ro-RO"/>
        </w:rPr>
        <w:t>o) modificare a regimului de redevențe și a regimului fiscal specific aplicabil activităţilor de explorare, dezvoltare, exploatare şi abandonare – prevăzută la art. 21 cuprinde:</w:t>
      </w:r>
    </w:p>
    <w:p w14:paraId="27E14F77" w14:textId="0954BEA2" w:rsidR="00B7788A" w:rsidRPr="006258E5" w:rsidRDefault="00B7788A" w:rsidP="00741DF5">
      <w:pPr>
        <w:pStyle w:val="ListParagraph"/>
        <w:numPr>
          <w:ilvl w:val="0"/>
          <w:numId w:val="19"/>
        </w:numPr>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 xml:space="preserve">introducerea de noi redevențe, contribuții, taxe și impozite, </w:t>
      </w:r>
      <w:r w:rsidRPr="006258E5">
        <w:rPr>
          <w:rFonts w:ascii="Times New Roman" w:hAnsi="Times New Roman" w:cs="Times New Roman"/>
          <w:color w:val="000000" w:themeColor="text1"/>
          <w:sz w:val="18"/>
          <w:szCs w:val="18"/>
          <w:lang w:val="ro-RO"/>
        </w:rPr>
        <w:t>tarife</w:t>
      </w:r>
      <w:r w:rsidR="00321EE3" w:rsidRPr="006258E5">
        <w:rPr>
          <w:rFonts w:ascii="Times New Roman" w:hAnsi="Times New Roman" w:cs="Times New Roman"/>
          <w:strike/>
          <w:color w:val="000000" w:themeColor="text1"/>
          <w:sz w:val="18"/>
          <w:szCs w:val="18"/>
          <w:lang w:val="ro-RO"/>
        </w:rPr>
        <w:t>,</w:t>
      </w:r>
      <w:r w:rsidRPr="006258E5">
        <w:rPr>
          <w:rFonts w:ascii="Times New Roman" w:hAnsi="Times New Roman" w:cs="Times New Roman"/>
          <w:sz w:val="18"/>
          <w:szCs w:val="18"/>
          <w:lang w:val="ro-RO"/>
        </w:rPr>
        <w:t xml:space="preserve"> aplicabile specific sau în mod disproporționat sectorului petrolier. În acest sens, impozitele, taxele ş contribuţiile, tarifele aplicabile specific sau în mod disproporționat sectorului petrolier, cuprind: impozitele, taxele şi contribuţiile, tarifele aplicabile unui număr limitat de sectoare de activitate, cum ar fi sectorul energetic sau sectorul extractiv sau cele aplicabile unui număr limitat de agenţi economici, definiţi pe baza unor criterii limitative, cum ar fi cifra de afaceri sau nivelul profitului.</w:t>
      </w:r>
    </w:p>
    <w:p w14:paraId="09B25722" w14:textId="5C20FD12" w:rsidR="00B7788A" w:rsidRPr="006258E5" w:rsidRDefault="00741DF5" w:rsidP="00741DF5">
      <w:pPr>
        <w:pStyle w:val="ListParagraph"/>
        <w:numPr>
          <w:ilvl w:val="0"/>
          <w:numId w:val="19"/>
        </w:numPr>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 xml:space="preserve">majorarea cotelor procentuale de redevență petrolieră sau modificarea pragurilor de producţie brută aferente acestor cote, stipulate în fiecare acord petrolier la data de 1 ianuarie </w:t>
      </w:r>
      <w:r w:rsidRPr="006258E5">
        <w:rPr>
          <w:rFonts w:ascii="Times New Roman" w:hAnsi="Times New Roman" w:cs="Times New Roman"/>
          <w:color w:val="000000" w:themeColor="text1"/>
          <w:sz w:val="18"/>
          <w:szCs w:val="18"/>
          <w:lang w:val="ro-RO"/>
        </w:rPr>
        <w:t xml:space="preserve">2023 </w:t>
      </w:r>
      <w:r w:rsidRPr="006258E5">
        <w:rPr>
          <w:rFonts w:ascii="Times New Roman" w:hAnsi="Times New Roman" w:cs="Times New Roman"/>
          <w:sz w:val="18"/>
          <w:szCs w:val="18"/>
          <w:lang w:val="ro-RO"/>
        </w:rPr>
        <w:t xml:space="preserve">sau modificarea bazelor de impozitare ori a metodei de calcul a redevențelor petroliere datorate la data de 1 ianuarie </w:t>
      </w:r>
      <w:r w:rsidRPr="006258E5">
        <w:rPr>
          <w:rFonts w:ascii="Times New Roman" w:hAnsi="Times New Roman" w:cs="Times New Roman"/>
          <w:color w:val="000000" w:themeColor="text1"/>
          <w:sz w:val="18"/>
          <w:szCs w:val="18"/>
          <w:lang w:val="ro-RO"/>
        </w:rPr>
        <w:t xml:space="preserve">2023 </w:t>
      </w:r>
      <w:r w:rsidRPr="006258E5">
        <w:rPr>
          <w:rFonts w:ascii="Times New Roman" w:hAnsi="Times New Roman" w:cs="Times New Roman"/>
          <w:sz w:val="18"/>
          <w:szCs w:val="18"/>
          <w:lang w:val="ro-RO"/>
        </w:rPr>
        <w:t>pentru operațiuni petroliere de exploatare a petrolului din zăcămintele petroliere, reglementate de Legea petrolului nr. 238/2004 cu modificările şi completările ulterioare</w:t>
      </w:r>
      <w:r w:rsidR="00B7788A" w:rsidRPr="006258E5">
        <w:rPr>
          <w:rFonts w:ascii="Times New Roman" w:hAnsi="Times New Roman" w:cs="Times New Roman"/>
          <w:sz w:val="18"/>
          <w:szCs w:val="18"/>
          <w:lang w:val="ro-RO"/>
        </w:rPr>
        <w:t>;</w:t>
      </w:r>
    </w:p>
    <w:p w14:paraId="19C57118" w14:textId="5B64EF01" w:rsidR="00B7788A" w:rsidRPr="006258E5" w:rsidRDefault="00B7788A" w:rsidP="00741DF5">
      <w:pPr>
        <w:pStyle w:val="ListParagraph"/>
        <w:numPr>
          <w:ilvl w:val="0"/>
          <w:numId w:val="19"/>
        </w:numPr>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t xml:space="preserve">majorarea cotelor, modificarea bazelor de impozitare sau a metodei de calcul al oricăruia dintre impozitele, taxele și contribuțiile aplicabile la data de 1 ianuarie </w:t>
      </w:r>
      <w:r w:rsidRPr="006258E5">
        <w:rPr>
          <w:rFonts w:ascii="Times New Roman" w:hAnsi="Times New Roman" w:cs="Times New Roman"/>
          <w:color w:val="000000" w:themeColor="text1"/>
          <w:sz w:val="18"/>
          <w:szCs w:val="18"/>
          <w:lang w:val="ro-RO"/>
        </w:rPr>
        <w:t>202</w:t>
      </w:r>
      <w:r w:rsidR="00F22E50" w:rsidRPr="006258E5">
        <w:rPr>
          <w:rFonts w:ascii="Times New Roman" w:hAnsi="Times New Roman" w:cs="Times New Roman"/>
          <w:color w:val="000000" w:themeColor="text1"/>
          <w:sz w:val="18"/>
          <w:szCs w:val="18"/>
          <w:lang w:val="ro-RO"/>
        </w:rPr>
        <w:t>3</w:t>
      </w:r>
      <w:r w:rsidR="00194C94" w:rsidRPr="006258E5">
        <w:rPr>
          <w:rFonts w:ascii="Times New Roman" w:hAnsi="Times New Roman" w:cs="Times New Roman"/>
          <w:color w:val="000000" w:themeColor="text1"/>
          <w:sz w:val="18"/>
          <w:szCs w:val="18"/>
          <w:lang w:val="ro-RO"/>
        </w:rPr>
        <w:t>,</w:t>
      </w:r>
      <w:r w:rsidRPr="006258E5">
        <w:rPr>
          <w:rFonts w:ascii="Times New Roman" w:hAnsi="Times New Roman" w:cs="Times New Roman"/>
          <w:color w:val="000000" w:themeColor="text1"/>
          <w:sz w:val="18"/>
          <w:szCs w:val="18"/>
          <w:lang w:val="ro-RO"/>
        </w:rPr>
        <w:t xml:space="preserve"> </w:t>
      </w:r>
      <w:r w:rsidR="0041227E" w:rsidRPr="006258E5">
        <w:rPr>
          <w:rFonts w:ascii="Times New Roman" w:hAnsi="Times New Roman" w:cs="Times New Roman"/>
          <w:color w:val="000000" w:themeColor="text1"/>
          <w:sz w:val="18"/>
          <w:szCs w:val="18"/>
          <w:lang w:val="ro-RO"/>
        </w:rPr>
        <w:t xml:space="preserve">exclusiv </w:t>
      </w:r>
      <w:r w:rsidRPr="006258E5">
        <w:rPr>
          <w:rFonts w:ascii="Times New Roman" w:hAnsi="Times New Roman" w:cs="Times New Roman"/>
          <w:sz w:val="18"/>
          <w:szCs w:val="18"/>
          <w:lang w:val="ro-RO"/>
        </w:rPr>
        <w:t xml:space="preserve">sectorului petrolier; </w:t>
      </w:r>
    </w:p>
    <w:p w14:paraId="469072F8" w14:textId="3ABA8F3F" w:rsidR="00B7788A" w:rsidRPr="006258E5" w:rsidRDefault="00B7788A" w:rsidP="00741DF5">
      <w:pPr>
        <w:pStyle w:val="ListParagraph"/>
        <w:numPr>
          <w:ilvl w:val="0"/>
          <w:numId w:val="19"/>
        </w:numPr>
        <w:jc w:val="both"/>
        <w:rPr>
          <w:rFonts w:ascii="Times New Roman" w:hAnsi="Times New Roman" w:cs="Times New Roman"/>
          <w:sz w:val="18"/>
          <w:szCs w:val="18"/>
          <w:lang w:val="ro-RO"/>
        </w:rPr>
      </w:pPr>
      <w:r w:rsidRPr="006258E5">
        <w:rPr>
          <w:rFonts w:ascii="Times New Roman" w:hAnsi="Times New Roman" w:cs="Times New Roman"/>
          <w:sz w:val="18"/>
          <w:szCs w:val="18"/>
          <w:lang w:val="ro-RO"/>
        </w:rPr>
        <w:lastRenderedPageBreak/>
        <w:t>introducerea de noi impozite, taxe, contribuţii sau tarife aplicabile asupra activelor specifice operațiunilor petroliere desfășurate de titularii de acorduri petroliere, cum ar fi: sonde, platforme marine, conducte, stații de tratare, măsurare, preluare, predare a petrolului.</w:t>
      </w:r>
    </w:p>
    <w:p w14:paraId="27AC4202" w14:textId="77777777" w:rsidR="007A7619" w:rsidRPr="006258E5" w:rsidRDefault="007A7619" w:rsidP="00FE6CBB">
      <w:pPr>
        <w:jc w:val="both"/>
        <w:rPr>
          <w:sz w:val="18"/>
          <w:szCs w:val="18"/>
          <w:lang w:val="ro-RO"/>
        </w:rPr>
      </w:pPr>
    </w:p>
    <w:p w14:paraId="476FCF54" w14:textId="62C091E2" w:rsidR="00B7788A" w:rsidRPr="006258E5" w:rsidRDefault="00B7788A" w:rsidP="007A7619">
      <w:pPr>
        <w:ind w:left="360"/>
        <w:jc w:val="both"/>
        <w:rPr>
          <w:sz w:val="18"/>
          <w:szCs w:val="18"/>
          <w:lang w:val="ro-RO"/>
        </w:rPr>
      </w:pPr>
      <w:r w:rsidRPr="006258E5">
        <w:rPr>
          <w:sz w:val="18"/>
          <w:szCs w:val="18"/>
          <w:lang w:val="ro-RO"/>
        </w:rPr>
        <w:t>p) investiţii în segmentul upstream – cuprind toate investițiile de dezvoltare și extindere a zăcămintelor existente, explorarea și dezvoltarea de noi zone de producție, înregistrate conform prevederilor contabile,   executate atat offshore cât şi pe uscat, referitoare la toate tipurile de resurse de petrol și de  zăcăminte offshore</w:t>
      </w:r>
      <w:r w:rsidR="00C650E5">
        <w:rPr>
          <w:sz w:val="18"/>
          <w:szCs w:val="18"/>
          <w:lang w:val="ro-RO"/>
        </w:rPr>
        <w:t xml:space="preserve"> </w:t>
      </w:r>
      <w:r w:rsidR="00C650E5" w:rsidRPr="006258E5">
        <w:rPr>
          <w:sz w:val="18"/>
          <w:szCs w:val="18"/>
          <w:lang w:val="ro-RO"/>
        </w:rPr>
        <w:t>și</w:t>
      </w:r>
      <w:r w:rsidR="00C650E5">
        <w:rPr>
          <w:sz w:val="18"/>
          <w:szCs w:val="18"/>
          <w:lang w:val="ro-RO"/>
        </w:rPr>
        <w:t>/sau</w:t>
      </w:r>
      <w:r w:rsidR="00C650E5" w:rsidRPr="006258E5">
        <w:rPr>
          <w:sz w:val="18"/>
          <w:szCs w:val="18"/>
          <w:lang w:val="ro-RO"/>
        </w:rPr>
        <w:t xml:space="preserve"> </w:t>
      </w:r>
      <w:r w:rsidR="00C650E5" w:rsidRPr="006258E5">
        <w:rPr>
          <w:spacing w:val="-2"/>
          <w:sz w:val="18"/>
          <w:szCs w:val="18"/>
          <w:lang w:val="ro-RO"/>
        </w:rPr>
        <w:t>onshore de adâncime</w:t>
      </w:r>
      <w:r w:rsidRPr="006258E5">
        <w:rPr>
          <w:sz w:val="18"/>
          <w:szCs w:val="18"/>
          <w:lang w:val="ro-RO"/>
        </w:rPr>
        <w:t>, respectiv: zăcăminte de gaze naturale libere, zăcăminte de gaze naturale și condensat, zăcăminte de țiței și gaze asociate sau zăcăminte de țiței. Notiunea „investiție inregistrată conform reglementărilor contabile” include costurile aferente investiției, indiferent dacă acestea se inregistrează în contul de profit și pierdere sau în imobilizari corporale sau necorporale sau imobilizări în curs.”</w:t>
      </w:r>
    </w:p>
    <w:p w14:paraId="62D837BF" w14:textId="77777777" w:rsidR="00A15434" w:rsidRPr="006258E5" w:rsidRDefault="00A15434" w:rsidP="00A15434">
      <w:pPr>
        <w:jc w:val="both"/>
        <w:rPr>
          <w:sz w:val="18"/>
          <w:szCs w:val="18"/>
          <w:lang w:val="ro-RO"/>
        </w:rPr>
      </w:pPr>
    </w:p>
    <w:p w14:paraId="70FE322F" w14:textId="123F9B1E" w:rsidR="00A15434" w:rsidRPr="006258E5" w:rsidRDefault="00A15434" w:rsidP="007A7619">
      <w:pPr>
        <w:ind w:left="360"/>
        <w:jc w:val="both"/>
        <w:rPr>
          <w:sz w:val="18"/>
          <w:szCs w:val="18"/>
          <w:lang w:val="ro-RO"/>
        </w:rPr>
      </w:pPr>
      <w:r w:rsidRPr="006258E5">
        <w:rPr>
          <w:sz w:val="18"/>
          <w:szCs w:val="18"/>
          <w:lang w:val="ro-RO"/>
        </w:rPr>
        <w:t xml:space="preserve">r) perimetru petrolier onshore de adâncime – perimetru petrolier localizat pe uscat, </w:t>
      </w:r>
      <w:r w:rsidR="006258E5" w:rsidRPr="006258E5">
        <w:rPr>
          <w:sz w:val="18"/>
          <w:szCs w:val="18"/>
          <w:lang w:val="ro-RO"/>
        </w:rPr>
        <w:t xml:space="preserve">a cărui </w:t>
      </w:r>
      <w:r w:rsidRPr="006258E5">
        <w:rPr>
          <w:sz w:val="18"/>
          <w:szCs w:val="18"/>
          <w:lang w:val="ro-RO"/>
        </w:rPr>
        <w:t>ari</w:t>
      </w:r>
      <w:r w:rsidR="006258E5" w:rsidRPr="006258E5">
        <w:rPr>
          <w:sz w:val="18"/>
          <w:szCs w:val="18"/>
          <w:lang w:val="ro-RO"/>
        </w:rPr>
        <w:t>ei</w:t>
      </w:r>
      <w:r w:rsidRPr="006258E5">
        <w:rPr>
          <w:sz w:val="18"/>
          <w:szCs w:val="18"/>
          <w:lang w:val="ro-RO"/>
        </w:rPr>
        <w:t xml:space="preserve"> corespunzătoare proiecţiei la suprafaţă a conturului părţii din scoarţa terestră în interiorul căreia, pe un interval de adâncime mai mai mare de 3000 m, se realizează lucrări de explorare, dezvoltare, exploatare sau înmagazinare, precum şi suprafeţele necesare desfăşurării activităţilor de explorare, dezvoltare, exploatare, înmagazinare şi transport al petrolului</w:t>
      </w:r>
      <w:r w:rsidR="00BD1D3C">
        <w:rPr>
          <w:sz w:val="18"/>
          <w:szCs w:val="18"/>
          <w:lang w:val="ro-RO"/>
        </w:rPr>
        <w:t>.</w:t>
      </w:r>
    </w:p>
    <w:p w14:paraId="5AB0EE7D" w14:textId="77777777" w:rsidR="00A15434" w:rsidRPr="006258E5" w:rsidRDefault="00A15434" w:rsidP="007A7619">
      <w:pPr>
        <w:ind w:left="360"/>
        <w:jc w:val="both"/>
        <w:rPr>
          <w:sz w:val="18"/>
          <w:szCs w:val="18"/>
          <w:lang w:val="ro-RO"/>
        </w:rPr>
      </w:pPr>
    </w:p>
    <w:p w14:paraId="2D73F12F" w14:textId="6A57C401" w:rsidR="00B60411" w:rsidRPr="006258E5" w:rsidRDefault="00FE6CBB" w:rsidP="00A15434">
      <w:pPr>
        <w:jc w:val="both"/>
        <w:rPr>
          <w:sz w:val="18"/>
          <w:szCs w:val="18"/>
          <w:lang w:val="ro-RO"/>
        </w:rPr>
      </w:pPr>
      <w:r w:rsidRPr="006258E5">
        <w:rPr>
          <w:sz w:val="18"/>
          <w:szCs w:val="18"/>
          <w:lang w:val="ro-RO"/>
        </w:rPr>
        <w:t xml:space="preserve">    </w:t>
      </w:r>
    </w:p>
    <w:p w14:paraId="2771A574" w14:textId="64884C9F" w:rsidR="00B7788A" w:rsidRPr="006258E5" w:rsidRDefault="6D0EB5A1" w:rsidP="00B7788A">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5F7456B6"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18 se modifică și va avea următorul cuprins: </w:t>
      </w:r>
    </w:p>
    <w:p w14:paraId="4DE5281C" w14:textId="6E53B875" w:rsidR="00B7788A" w:rsidRPr="006258E5" w:rsidRDefault="0E9E73F5" w:rsidP="009F3735">
      <w:pPr>
        <w:ind w:left="360"/>
        <w:jc w:val="both"/>
        <w:rPr>
          <w:sz w:val="18"/>
          <w:szCs w:val="18"/>
          <w:lang w:val="ro-RO"/>
        </w:rPr>
      </w:pPr>
      <w:r w:rsidRPr="006258E5">
        <w:rPr>
          <w:b/>
          <w:bCs/>
          <w:sz w:val="18"/>
          <w:szCs w:val="18"/>
          <w:lang w:val="ro-RO"/>
        </w:rPr>
        <w:t>„</w:t>
      </w:r>
      <w:r w:rsidR="6D0EB5A1" w:rsidRPr="006258E5">
        <w:rPr>
          <w:b/>
          <w:bCs/>
          <w:sz w:val="18"/>
          <w:szCs w:val="18"/>
          <w:lang w:val="ro-RO"/>
        </w:rPr>
        <w:t>Art. 18</w:t>
      </w:r>
      <w:r w:rsidR="6D0EB5A1" w:rsidRPr="006258E5">
        <w:rPr>
          <w:sz w:val="18"/>
          <w:szCs w:val="18"/>
          <w:lang w:val="ro-RO"/>
        </w:rPr>
        <w:t xml:space="preserve"> </w:t>
      </w:r>
      <w:r w:rsidR="735CF49F" w:rsidRPr="006258E5">
        <w:rPr>
          <w:sz w:val="18"/>
          <w:szCs w:val="18"/>
          <w:lang w:val="ro-RO"/>
        </w:rPr>
        <w:t>-</w:t>
      </w:r>
      <w:r w:rsidR="6D0EB5A1" w:rsidRPr="006258E5">
        <w:rPr>
          <w:sz w:val="18"/>
          <w:szCs w:val="18"/>
          <w:lang w:val="ro-RO"/>
        </w:rPr>
        <w:t xml:space="preserve"> Titularilor de acorduri petroliere referitoare la perimetre petroliere offshore</w:t>
      </w:r>
      <w:r w:rsidR="00BD1D3C" w:rsidRPr="00BD1D3C">
        <w:rPr>
          <w:sz w:val="18"/>
          <w:szCs w:val="18"/>
          <w:lang w:val="ro-RO"/>
        </w:rPr>
        <w:t xml:space="preserve"> </w:t>
      </w:r>
      <w:r w:rsidR="00BD1D3C" w:rsidRPr="006258E5">
        <w:rPr>
          <w:sz w:val="18"/>
          <w:szCs w:val="18"/>
          <w:lang w:val="ro-RO"/>
        </w:rPr>
        <w:t>și</w:t>
      </w:r>
      <w:r w:rsidR="00BD1D3C">
        <w:rPr>
          <w:sz w:val="18"/>
          <w:szCs w:val="18"/>
          <w:lang w:val="ro-RO"/>
        </w:rPr>
        <w:t>/sau</w:t>
      </w:r>
      <w:r w:rsidR="00BD1D3C" w:rsidRPr="006258E5">
        <w:rPr>
          <w:sz w:val="18"/>
          <w:szCs w:val="18"/>
          <w:lang w:val="ro-RO"/>
        </w:rPr>
        <w:t xml:space="preserve"> </w:t>
      </w:r>
      <w:r w:rsidR="00BD1D3C" w:rsidRPr="006258E5">
        <w:rPr>
          <w:spacing w:val="-2"/>
          <w:sz w:val="18"/>
          <w:szCs w:val="18"/>
          <w:lang w:val="ro-RO"/>
        </w:rPr>
        <w:t>onshore de adâncime</w:t>
      </w:r>
      <w:r w:rsidR="6D0EB5A1" w:rsidRPr="006258E5">
        <w:rPr>
          <w:sz w:val="18"/>
          <w:szCs w:val="18"/>
          <w:lang w:val="ro-RO"/>
        </w:rPr>
        <w:t xml:space="preserve"> aflate în curs de executare la data de </w:t>
      </w:r>
      <w:r w:rsidR="6D0EB5A1" w:rsidRPr="006258E5">
        <w:rPr>
          <w:b/>
          <w:bCs/>
          <w:sz w:val="18"/>
          <w:szCs w:val="18"/>
          <w:lang w:val="ro-RO"/>
        </w:rPr>
        <w:t>1 ianuarie 2022</w:t>
      </w:r>
      <w:r w:rsidR="6D0EB5A1" w:rsidRPr="006258E5">
        <w:rPr>
          <w:sz w:val="18"/>
          <w:szCs w:val="18"/>
          <w:lang w:val="ro-RO"/>
        </w:rPr>
        <w:t xml:space="preserve"> li se aplică, pe toată perioada derulării acestora, </w:t>
      </w:r>
      <w:r w:rsidR="6D0EB5A1" w:rsidRPr="006258E5">
        <w:rPr>
          <w:b/>
          <w:bCs/>
          <w:sz w:val="18"/>
          <w:szCs w:val="18"/>
          <w:lang w:val="ro-RO"/>
        </w:rPr>
        <w:t>regimul de redevențe</w:t>
      </w:r>
      <w:r w:rsidR="6D0EB5A1" w:rsidRPr="006258E5">
        <w:rPr>
          <w:sz w:val="18"/>
          <w:szCs w:val="18"/>
          <w:lang w:val="ro-RO"/>
        </w:rPr>
        <w:t xml:space="preserve"> și regimul fiscal specific aplicabil activităților de explorare, dezvoltare, exploatare și abandonare, existente la data de </w:t>
      </w:r>
      <w:r w:rsidR="6D0EB5A1" w:rsidRPr="006258E5">
        <w:rPr>
          <w:b/>
          <w:bCs/>
          <w:sz w:val="18"/>
          <w:szCs w:val="18"/>
          <w:lang w:val="ro-RO"/>
        </w:rPr>
        <w:t xml:space="preserve">1 ianuarie </w:t>
      </w:r>
      <w:r w:rsidR="6D0EB5A1" w:rsidRPr="006258E5">
        <w:rPr>
          <w:b/>
          <w:bCs/>
          <w:color w:val="000000" w:themeColor="text1"/>
          <w:sz w:val="18"/>
          <w:szCs w:val="18"/>
          <w:lang w:val="ro-RO"/>
        </w:rPr>
        <w:t>202</w:t>
      </w:r>
      <w:r w:rsidR="00504B9A" w:rsidRPr="006258E5">
        <w:rPr>
          <w:b/>
          <w:bCs/>
          <w:color w:val="000000" w:themeColor="text1"/>
          <w:sz w:val="18"/>
          <w:szCs w:val="18"/>
          <w:lang w:val="ro-RO"/>
        </w:rPr>
        <w:t>3</w:t>
      </w:r>
      <w:r w:rsidR="6D0EB5A1" w:rsidRPr="006258E5">
        <w:rPr>
          <w:sz w:val="18"/>
          <w:szCs w:val="18"/>
          <w:lang w:val="ro-RO"/>
        </w:rPr>
        <w:t>.</w:t>
      </w:r>
      <w:r w:rsidRPr="006258E5">
        <w:rPr>
          <w:sz w:val="18"/>
          <w:szCs w:val="18"/>
          <w:lang w:val="ro-RO"/>
        </w:rPr>
        <w:t>”</w:t>
      </w:r>
      <w:r w:rsidR="6D0EB5A1" w:rsidRPr="006258E5">
        <w:rPr>
          <w:sz w:val="18"/>
          <w:szCs w:val="18"/>
          <w:lang w:val="ro-RO"/>
        </w:rPr>
        <w:t xml:space="preserve"> </w:t>
      </w:r>
    </w:p>
    <w:p w14:paraId="598BDC39" w14:textId="77777777" w:rsidR="006258E5" w:rsidRPr="006258E5" w:rsidRDefault="006258E5" w:rsidP="009F3735">
      <w:pPr>
        <w:ind w:left="360"/>
        <w:jc w:val="both"/>
        <w:rPr>
          <w:sz w:val="18"/>
          <w:szCs w:val="18"/>
          <w:lang w:val="ro-RO"/>
        </w:rPr>
      </w:pPr>
    </w:p>
    <w:p w14:paraId="21DABBCF" w14:textId="4D5D5B6D" w:rsidR="00E03B0D" w:rsidRPr="006258E5" w:rsidRDefault="00E03B0D" w:rsidP="3FE77073">
      <w:pPr>
        <w:pStyle w:val="ListParagraph"/>
        <w:numPr>
          <w:ilvl w:val="0"/>
          <w:numId w:val="17"/>
        </w:numPr>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 xml:space="preserve">La </w:t>
      </w:r>
      <w:r w:rsidR="56AF0A29" w:rsidRPr="006258E5">
        <w:rPr>
          <w:rFonts w:ascii="Times New Roman" w:hAnsi="Times New Roman" w:cs="Times New Roman"/>
          <w:b/>
          <w:bCs/>
          <w:sz w:val="18"/>
          <w:szCs w:val="18"/>
          <w:lang w:val="ro-RO"/>
        </w:rPr>
        <w:t>a</w:t>
      </w:r>
      <w:r w:rsidRPr="006258E5">
        <w:rPr>
          <w:rFonts w:ascii="Times New Roman" w:hAnsi="Times New Roman" w:cs="Times New Roman"/>
          <w:b/>
          <w:bCs/>
          <w:sz w:val="18"/>
          <w:szCs w:val="18"/>
          <w:lang w:val="ro-RO"/>
        </w:rPr>
        <w:t>rt</w:t>
      </w:r>
      <w:r w:rsidR="30ABCEF5"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19, alineatul (12) se abrogă,</w:t>
      </w:r>
      <w:r w:rsidR="217FC8DD" w:rsidRPr="006258E5">
        <w:rPr>
          <w:rFonts w:ascii="Times New Roman" w:hAnsi="Times New Roman" w:cs="Times New Roman"/>
          <w:b/>
          <w:bCs/>
          <w:sz w:val="18"/>
          <w:szCs w:val="18"/>
          <w:lang w:val="ro-RO"/>
        </w:rPr>
        <w:t>.</w:t>
      </w:r>
    </w:p>
    <w:p w14:paraId="7E012403" w14:textId="17EE1BEF" w:rsidR="00E03B0D" w:rsidRPr="006258E5" w:rsidRDefault="00E03B0D" w:rsidP="00C45DFB">
      <w:pPr>
        <w:rPr>
          <w:b/>
          <w:bCs/>
          <w:sz w:val="18"/>
          <w:szCs w:val="18"/>
          <w:lang w:val="ro-RO"/>
        </w:rPr>
      </w:pPr>
    </w:p>
    <w:p w14:paraId="6C7380EA" w14:textId="11893094" w:rsidR="00E03B0D" w:rsidRPr="006258E5" w:rsidRDefault="6B8E368C" w:rsidP="3FE77073">
      <w:pPr>
        <w:pStyle w:val="ListParagraph"/>
        <w:numPr>
          <w:ilvl w:val="0"/>
          <w:numId w:val="17"/>
        </w:numPr>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7B6E0C3C"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19 se modifică și va avea următorul cuprins:</w:t>
      </w:r>
    </w:p>
    <w:p w14:paraId="275E4A0F" w14:textId="70FC21F1" w:rsidR="00B7788A" w:rsidRDefault="0E9E73F5" w:rsidP="00432A65">
      <w:pPr>
        <w:rPr>
          <w:sz w:val="18"/>
          <w:szCs w:val="18"/>
          <w:lang w:val="ro-RO"/>
        </w:rPr>
      </w:pPr>
      <w:r w:rsidRPr="006258E5">
        <w:rPr>
          <w:b/>
          <w:bCs/>
          <w:sz w:val="18"/>
          <w:szCs w:val="18"/>
          <w:lang w:val="ro-RO"/>
        </w:rPr>
        <w:t>„</w:t>
      </w:r>
      <w:r w:rsidR="6D0EB5A1" w:rsidRPr="006258E5">
        <w:rPr>
          <w:b/>
          <w:bCs/>
          <w:sz w:val="18"/>
          <w:szCs w:val="18"/>
          <w:lang w:val="ro-RO"/>
        </w:rPr>
        <w:t>Art</w:t>
      </w:r>
      <w:r w:rsidR="655F8E83" w:rsidRPr="006258E5">
        <w:rPr>
          <w:b/>
          <w:bCs/>
          <w:sz w:val="18"/>
          <w:szCs w:val="18"/>
          <w:lang w:val="ro-RO"/>
        </w:rPr>
        <w:t>.</w:t>
      </w:r>
      <w:r w:rsidR="6D0EB5A1" w:rsidRPr="006258E5">
        <w:rPr>
          <w:b/>
          <w:bCs/>
          <w:sz w:val="18"/>
          <w:szCs w:val="18"/>
          <w:lang w:val="ro-RO"/>
        </w:rPr>
        <w:t xml:space="preserve"> 19</w:t>
      </w:r>
      <w:r w:rsidR="7287B6DE" w:rsidRPr="006258E5">
        <w:rPr>
          <w:b/>
          <w:bCs/>
          <w:sz w:val="18"/>
          <w:szCs w:val="18"/>
          <w:lang w:val="ro-RO"/>
        </w:rPr>
        <w:t xml:space="preserve"> </w:t>
      </w:r>
      <w:r w:rsidR="069DC7B5" w:rsidRPr="006258E5">
        <w:rPr>
          <w:b/>
          <w:bCs/>
          <w:sz w:val="18"/>
          <w:szCs w:val="18"/>
          <w:lang w:val="ro-RO"/>
        </w:rPr>
        <w:t>-</w:t>
      </w:r>
      <w:r w:rsidR="6D0EB5A1" w:rsidRPr="006258E5">
        <w:rPr>
          <w:sz w:val="18"/>
          <w:szCs w:val="18"/>
          <w:lang w:val="ro-RO"/>
        </w:rPr>
        <w:t xml:space="preserve"> (1) Titularii de acorduri  petroliere offshore</w:t>
      </w:r>
      <w:r w:rsidR="00432A65" w:rsidRPr="006258E5">
        <w:rPr>
          <w:sz w:val="18"/>
          <w:szCs w:val="18"/>
          <w:lang w:val="ro-RO"/>
        </w:rPr>
        <w:t xml:space="preserve">  și</w:t>
      </w:r>
      <w:r w:rsidR="002C4CDB">
        <w:rPr>
          <w:sz w:val="18"/>
          <w:szCs w:val="18"/>
          <w:lang w:val="ro-RO"/>
        </w:rPr>
        <w:t>/sau</w:t>
      </w:r>
      <w:r w:rsidR="00FE6CBB" w:rsidRPr="006258E5">
        <w:rPr>
          <w:sz w:val="18"/>
          <w:szCs w:val="18"/>
          <w:lang w:val="ro-RO"/>
        </w:rPr>
        <w:t xml:space="preserve"> </w:t>
      </w:r>
      <w:r w:rsidR="00FE6CBB" w:rsidRPr="006258E5">
        <w:rPr>
          <w:spacing w:val="-2"/>
          <w:sz w:val="18"/>
          <w:szCs w:val="18"/>
          <w:lang w:val="ro-RO"/>
        </w:rPr>
        <w:t>onshore de adâncime</w:t>
      </w:r>
      <w:r w:rsidR="00432A65" w:rsidRPr="006258E5">
        <w:rPr>
          <w:sz w:val="18"/>
          <w:szCs w:val="18"/>
          <w:lang w:val="ro-RO"/>
        </w:rPr>
        <w:t xml:space="preserve">, </w:t>
      </w:r>
      <w:r w:rsidR="6D0EB5A1" w:rsidRPr="006258E5">
        <w:rPr>
          <w:sz w:val="18"/>
          <w:szCs w:val="18"/>
          <w:lang w:val="ro-RO"/>
        </w:rPr>
        <w:t xml:space="preserve"> inclusiv filialele acestora şi/sau titularii de acorduri petroliere referitoare la perimetre offshore</w:t>
      </w:r>
      <w:r w:rsidR="0090613D" w:rsidRPr="006258E5">
        <w:rPr>
          <w:sz w:val="18"/>
          <w:szCs w:val="18"/>
          <w:lang w:val="ro-RO"/>
        </w:rPr>
        <w:t xml:space="preserve"> </w:t>
      </w:r>
      <w:r w:rsidR="00B60411" w:rsidRPr="006258E5">
        <w:rPr>
          <w:sz w:val="18"/>
          <w:szCs w:val="18"/>
          <w:lang w:val="ro-RO"/>
        </w:rPr>
        <w:t>și</w:t>
      </w:r>
      <w:r w:rsidR="002C4CDB">
        <w:rPr>
          <w:sz w:val="18"/>
          <w:szCs w:val="18"/>
          <w:lang w:val="ro-RO"/>
        </w:rPr>
        <w:t>/sau</w:t>
      </w:r>
      <w:r w:rsidR="00B60411" w:rsidRPr="006258E5">
        <w:rPr>
          <w:sz w:val="18"/>
          <w:szCs w:val="18"/>
          <w:lang w:val="ro-RO"/>
        </w:rPr>
        <w:t xml:space="preserve"> onshore de adâncime</w:t>
      </w:r>
      <w:r w:rsidR="0090613D" w:rsidRPr="006258E5">
        <w:rPr>
          <w:sz w:val="18"/>
          <w:szCs w:val="18"/>
          <w:lang w:val="ro-RO"/>
        </w:rPr>
        <w:t>,</w:t>
      </w:r>
      <w:r w:rsidR="6D0EB5A1" w:rsidRPr="006258E5">
        <w:rPr>
          <w:sz w:val="18"/>
          <w:szCs w:val="18"/>
          <w:lang w:val="ro-RO"/>
        </w:rPr>
        <w:t xml:space="preserve"> aparţinând aceluiaşi grup de interes economic care desfăşoară efectiv atât activităţi de extracţie, cât şi activităţi de vânzare a gazelor naturale extrase din aceste perimetre sunt obligaţi la calcularea, declararea şi plata impozitului asupra veniturilor suplimentare. </w:t>
      </w:r>
    </w:p>
    <w:p w14:paraId="0C032A34" w14:textId="77777777" w:rsidR="006258E5" w:rsidRPr="006258E5" w:rsidRDefault="006258E5" w:rsidP="00432A65">
      <w:pPr>
        <w:rPr>
          <w:sz w:val="18"/>
          <w:szCs w:val="18"/>
          <w:lang w:val="ro-RO"/>
        </w:rPr>
      </w:pPr>
    </w:p>
    <w:p w14:paraId="674BD752" w14:textId="72E5E8C0" w:rsidR="00B7788A" w:rsidRDefault="00B7788A" w:rsidP="009F3735">
      <w:pPr>
        <w:ind w:left="360"/>
        <w:jc w:val="both"/>
        <w:rPr>
          <w:sz w:val="18"/>
          <w:szCs w:val="18"/>
          <w:lang w:val="ro-RO"/>
        </w:rPr>
      </w:pPr>
      <w:r w:rsidRPr="006258E5">
        <w:rPr>
          <w:sz w:val="18"/>
          <w:szCs w:val="18"/>
          <w:lang w:val="ro-RO"/>
        </w:rPr>
        <w:t>(2) Prin venit suplimentar</w:t>
      </w:r>
      <w:r w:rsidR="00322D5D">
        <w:rPr>
          <w:sz w:val="18"/>
          <w:szCs w:val="18"/>
          <w:lang w:val="ro-RO"/>
        </w:rPr>
        <w:t xml:space="preserve"> </w:t>
      </w:r>
      <w:r w:rsidRPr="006258E5">
        <w:rPr>
          <w:sz w:val="18"/>
          <w:szCs w:val="18"/>
          <w:lang w:val="ro-RO"/>
        </w:rPr>
        <w:t>se înţelege diferenţa dintre preţul mediu ponderat al gazelor naturale vândute din producţia internă proprie din perimetrele offshore</w:t>
      </w:r>
      <w:r w:rsidR="002C4CDB">
        <w:rPr>
          <w:sz w:val="18"/>
          <w:szCs w:val="18"/>
          <w:lang w:val="ro-RO"/>
        </w:rPr>
        <w:t xml:space="preserve"> </w:t>
      </w:r>
      <w:r w:rsidR="002C4CDB" w:rsidRPr="006258E5">
        <w:rPr>
          <w:sz w:val="18"/>
          <w:szCs w:val="18"/>
          <w:lang w:val="ro-RO"/>
        </w:rPr>
        <w:t>și</w:t>
      </w:r>
      <w:r w:rsidR="002C4CDB">
        <w:rPr>
          <w:sz w:val="18"/>
          <w:szCs w:val="18"/>
          <w:lang w:val="ro-RO"/>
        </w:rPr>
        <w:t>/sau</w:t>
      </w:r>
      <w:r w:rsidR="002C4CDB" w:rsidRPr="006258E5">
        <w:rPr>
          <w:sz w:val="18"/>
          <w:szCs w:val="18"/>
          <w:lang w:val="ro-RO"/>
        </w:rPr>
        <w:t xml:space="preserve"> </w:t>
      </w:r>
      <w:r w:rsidR="002C4CDB" w:rsidRPr="006258E5">
        <w:rPr>
          <w:spacing w:val="-2"/>
          <w:sz w:val="18"/>
          <w:szCs w:val="18"/>
          <w:lang w:val="ro-RO"/>
        </w:rPr>
        <w:t>onshore de adâncime</w:t>
      </w:r>
      <w:r w:rsidRPr="006258E5">
        <w:rPr>
          <w:sz w:val="18"/>
          <w:szCs w:val="18"/>
          <w:lang w:val="ro-RO"/>
        </w:rPr>
        <w:t xml:space="preserve">, din care se deduc costurile de transport, distributie,  înmagazinare şi alte costuri logistice in masura in care sunt suportate de catre titularul acordului petrolier, şi preţul de </w:t>
      </w:r>
      <w:r w:rsidR="00504B9A" w:rsidRPr="006258E5">
        <w:rPr>
          <w:sz w:val="18"/>
          <w:szCs w:val="18"/>
          <w:lang w:val="ro-RO"/>
        </w:rPr>
        <w:t xml:space="preserve">85 </w:t>
      </w:r>
      <w:r w:rsidRPr="006258E5">
        <w:rPr>
          <w:color w:val="FF0000"/>
          <w:sz w:val="18"/>
          <w:szCs w:val="18"/>
          <w:lang w:val="ro-RO"/>
        </w:rPr>
        <w:t xml:space="preserve"> </w:t>
      </w:r>
      <w:r w:rsidRPr="006258E5">
        <w:rPr>
          <w:sz w:val="18"/>
          <w:szCs w:val="18"/>
          <w:lang w:val="ro-RO"/>
        </w:rPr>
        <w:t>de lei/MWh, înmulţită cu volumele de gaze vândute din producţia internă proprie din perimetrele offshore.</w:t>
      </w:r>
    </w:p>
    <w:p w14:paraId="17935E41" w14:textId="77777777" w:rsidR="006258E5" w:rsidRPr="006258E5" w:rsidRDefault="006258E5" w:rsidP="009F3735">
      <w:pPr>
        <w:ind w:left="360"/>
        <w:jc w:val="both"/>
        <w:rPr>
          <w:sz w:val="18"/>
          <w:szCs w:val="18"/>
          <w:lang w:val="ro-RO"/>
        </w:rPr>
      </w:pPr>
    </w:p>
    <w:p w14:paraId="639055A1" w14:textId="1C6C3FEB" w:rsidR="00B7788A" w:rsidRPr="006258E5" w:rsidRDefault="00B7788A" w:rsidP="009F3735">
      <w:pPr>
        <w:ind w:left="360"/>
        <w:jc w:val="both"/>
        <w:rPr>
          <w:sz w:val="18"/>
          <w:szCs w:val="18"/>
          <w:lang w:val="ro-RO"/>
        </w:rPr>
      </w:pPr>
      <w:r w:rsidRPr="006258E5">
        <w:rPr>
          <w:sz w:val="18"/>
          <w:szCs w:val="18"/>
          <w:lang w:val="ro-RO"/>
        </w:rPr>
        <w:t>(3) Impozitul asupra veniturilor suplimentare prevăzut la alin. (1) se calculează prin aplicarea unuia sau unor procente de calcul, după caz, asupra veniturilor suplimentare obţinute din vânzarea gazelor naturale din producţia internă proprie extrase din perimetrele offshore</w:t>
      </w:r>
      <w:r w:rsidR="00EC6E27">
        <w:rPr>
          <w:sz w:val="18"/>
          <w:szCs w:val="18"/>
          <w:lang w:val="ro-RO"/>
        </w:rPr>
        <w:t xml:space="preserve"> </w:t>
      </w:r>
      <w:r w:rsidR="00EC6E27" w:rsidRPr="006258E5">
        <w:rPr>
          <w:sz w:val="18"/>
          <w:szCs w:val="18"/>
          <w:lang w:val="ro-RO"/>
        </w:rPr>
        <w:t>și</w:t>
      </w:r>
      <w:r w:rsidR="00EC6E27">
        <w:rPr>
          <w:sz w:val="18"/>
          <w:szCs w:val="18"/>
          <w:lang w:val="ro-RO"/>
        </w:rPr>
        <w:t>/sau</w:t>
      </w:r>
      <w:r w:rsidR="00EC6E27" w:rsidRPr="006258E5">
        <w:rPr>
          <w:sz w:val="18"/>
          <w:szCs w:val="18"/>
          <w:lang w:val="ro-RO"/>
        </w:rPr>
        <w:t xml:space="preserve"> </w:t>
      </w:r>
      <w:r w:rsidR="00EC6E27" w:rsidRPr="006258E5">
        <w:rPr>
          <w:spacing w:val="-2"/>
          <w:sz w:val="18"/>
          <w:szCs w:val="18"/>
          <w:lang w:val="ro-RO"/>
        </w:rPr>
        <w:t>onshore de adâncime</w:t>
      </w:r>
      <w:r w:rsidRPr="006258E5">
        <w:rPr>
          <w:sz w:val="18"/>
          <w:szCs w:val="18"/>
          <w:lang w:val="ro-RO"/>
        </w:rPr>
        <w:t>, aşa cum acestea sunt determinate potrivit anexei nr. 2, impozit din care se deduce valoarea investiţiilor în segmentul upstream. Procentele de calcul al impozitului se calculează pe baza preţurilor de vânzare a gazelor naturale pentru care se aplică impozitul asupra veniturilor suplimentare practicate de către titularii de acorduri petroliere referitoare la perimetre petroliere offshore</w:t>
      </w:r>
      <w:r w:rsidR="00EC6E27" w:rsidRPr="00EC6E27">
        <w:rPr>
          <w:sz w:val="18"/>
          <w:szCs w:val="18"/>
          <w:lang w:val="ro-RO"/>
        </w:rPr>
        <w:t xml:space="preserve"> </w:t>
      </w:r>
      <w:r w:rsidR="00EC6E27" w:rsidRPr="006258E5">
        <w:rPr>
          <w:sz w:val="18"/>
          <w:szCs w:val="18"/>
          <w:lang w:val="ro-RO"/>
        </w:rPr>
        <w:t>și</w:t>
      </w:r>
      <w:r w:rsidR="00EC6E27">
        <w:rPr>
          <w:sz w:val="18"/>
          <w:szCs w:val="18"/>
          <w:lang w:val="ro-RO"/>
        </w:rPr>
        <w:t>/sau</w:t>
      </w:r>
      <w:r w:rsidR="00EC6E27" w:rsidRPr="006258E5">
        <w:rPr>
          <w:sz w:val="18"/>
          <w:szCs w:val="18"/>
          <w:lang w:val="ro-RO"/>
        </w:rPr>
        <w:t xml:space="preserve"> </w:t>
      </w:r>
      <w:r w:rsidR="00EC6E27" w:rsidRPr="006258E5">
        <w:rPr>
          <w:spacing w:val="-2"/>
          <w:sz w:val="18"/>
          <w:szCs w:val="18"/>
          <w:lang w:val="ro-RO"/>
        </w:rPr>
        <w:t>onshore de adâncime</w:t>
      </w:r>
      <w:r w:rsidR="00EC6E27">
        <w:rPr>
          <w:spacing w:val="-2"/>
          <w:sz w:val="18"/>
          <w:szCs w:val="18"/>
          <w:lang w:val="ro-RO"/>
        </w:rPr>
        <w:t>,</w:t>
      </w:r>
      <w:r w:rsidRPr="006258E5">
        <w:rPr>
          <w:sz w:val="18"/>
          <w:szCs w:val="18"/>
          <w:lang w:val="ro-RO"/>
        </w:rPr>
        <w:t xml:space="preserve"> pe baza grilei de preţuri de mai jos, ajustate anual începând cu 1 ianuarie 202</w:t>
      </w:r>
      <w:r w:rsidR="000E6FF9" w:rsidRPr="006258E5">
        <w:rPr>
          <w:sz w:val="18"/>
          <w:szCs w:val="18"/>
          <w:lang w:val="ro-RO"/>
        </w:rPr>
        <w:t>3</w:t>
      </w:r>
      <w:r w:rsidRPr="006258E5">
        <w:rPr>
          <w:sz w:val="18"/>
          <w:szCs w:val="18"/>
          <w:lang w:val="ro-RO"/>
        </w:rPr>
        <w:t xml:space="preserve"> cu indicele anual al prețurilor de consum, după cum urmează:</w:t>
      </w:r>
    </w:p>
    <w:p w14:paraId="1C3E2050" w14:textId="779DD35A" w:rsidR="005A3A90"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 xml:space="preserve">a) 15% din veniturile suplimentare </w:t>
      </w:r>
      <w:r w:rsidRPr="006258E5">
        <w:rPr>
          <w:b/>
          <w:bCs/>
          <w:color w:val="000000" w:themeColor="text1"/>
          <w:sz w:val="18"/>
          <w:szCs w:val="18"/>
          <w:lang w:val="ro-RO"/>
        </w:rPr>
        <w:t xml:space="preserve"> </w:t>
      </w:r>
      <w:r w:rsidRPr="006258E5">
        <w:rPr>
          <w:color w:val="000000" w:themeColor="text1"/>
          <w:sz w:val="18"/>
          <w:szCs w:val="18"/>
          <w:lang w:val="ro-RO"/>
        </w:rPr>
        <w:t>obţinute în urma practicării unor preţuri mai mari decât 85 lei/MWh şi mai mici sau egale cu 100 lei/MWh;</w:t>
      </w:r>
    </w:p>
    <w:p w14:paraId="3331F075" w14:textId="3B0B2CCA"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b</w:t>
      </w:r>
      <w:r w:rsidR="00B7788A" w:rsidRPr="006258E5">
        <w:rPr>
          <w:color w:val="000000" w:themeColor="text1"/>
          <w:sz w:val="18"/>
          <w:szCs w:val="18"/>
          <w:lang w:val="ro-RO"/>
        </w:rPr>
        <w:t xml:space="preserve">) 30% din veniturile suplimentare </w:t>
      </w:r>
      <w:r w:rsidR="00B7788A" w:rsidRPr="006258E5">
        <w:rPr>
          <w:b/>
          <w:bCs/>
          <w:color w:val="000000" w:themeColor="text1"/>
          <w:sz w:val="18"/>
          <w:szCs w:val="18"/>
          <w:lang w:val="ro-RO"/>
        </w:rPr>
        <w:t xml:space="preserve"> </w:t>
      </w:r>
      <w:r w:rsidR="00B7788A" w:rsidRPr="006258E5">
        <w:rPr>
          <w:color w:val="000000" w:themeColor="text1"/>
          <w:sz w:val="18"/>
          <w:szCs w:val="18"/>
          <w:lang w:val="ro-RO"/>
        </w:rPr>
        <w:t>obţinute în urma practicării unor preţuri mai mari decât 100 lei/MWh şi mai mici sau egale cu 115 lei/MWh;</w:t>
      </w:r>
    </w:p>
    <w:p w14:paraId="1DE292B8" w14:textId="5053231A"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c</w:t>
      </w:r>
      <w:r w:rsidR="00B7788A" w:rsidRPr="006258E5">
        <w:rPr>
          <w:color w:val="000000" w:themeColor="text1"/>
          <w:sz w:val="18"/>
          <w:szCs w:val="18"/>
          <w:lang w:val="ro-RO"/>
        </w:rPr>
        <w:t>) 35% din veniturile suplimentare  obţinute în urma practicării unor preţuri mai mari decât 115 lei/MWh şi mai mici sau egale cu 130 lei/MWh;</w:t>
      </w:r>
    </w:p>
    <w:p w14:paraId="18236AFF" w14:textId="20767AA2"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d</w:t>
      </w:r>
      <w:r w:rsidR="00B7788A" w:rsidRPr="006258E5">
        <w:rPr>
          <w:color w:val="000000" w:themeColor="text1"/>
          <w:sz w:val="18"/>
          <w:szCs w:val="18"/>
          <w:lang w:val="ro-RO"/>
        </w:rPr>
        <w:t>) 40% din veniturile suplimentare obţinute în urma practicării unor preţuri mai mari decât 130 lei/MWh şi mai mici sau egale cu 145 lei/MWh;</w:t>
      </w:r>
    </w:p>
    <w:p w14:paraId="21CC7D6C" w14:textId="71964ED9"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lastRenderedPageBreak/>
        <w:t>e</w:t>
      </w:r>
      <w:r w:rsidR="00B7788A" w:rsidRPr="006258E5">
        <w:rPr>
          <w:color w:val="000000" w:themeColor="text1"/>
          <w:sz w:val="18"/>
          <w:szCs w:val="18"/>
          <w:lang w:val="ro-RO"/>
        </w:rPr>
        <w:t>) 50% din veniturile suplimentare  obţinute în urma practicării unor preţuri mai mari decât 145 lei/MWh şi mai mici sau egale cu 160 lei/MWh;</w:t>
      </w:r>
    </w:p>
    <w:p w14:paraId="5DF2381F" w14:textId="2BA1A3FE" w:rsidR="000E6FF9" w:rsidRPr="006258E5" w:rsidRDefault="005A3A90" w:rsidP="006258E5">
      <w:pPr>
        <w:ind w:left="720"/>
        <w:jc w:val="both"/>
        <w:rPr>
          <w:color w:val="000000" w:themeColor="text1"/>
          <w:sz w:val="18"/>
          <w:szCs w:val="18"/>
          <w:lang w:val="ro-RO"/>
        </w:rPr>
      </w:pPr>
      <w:r w:rsidRPr="006258E5">
        <w:rPr>
          <w:color w:val="000000" w:themeColor="text1"/>
          <w:sz w:val="18"/>
          <w:szCs w:val="18"/>
          <w:lang w:val="ro-RO"/>
        </w:rPr>
        <w:t>f</w:t>
      </w:r>
      <w:r w:rsidR="00B7788A" w:rsidRPr="006258E5">
        <w:rPr>
          <w:color w:val="000000" w:themeColor="text1"/>
          <w:sz w:val="18"/>
          <w:szCs w:val="18"/>
          <w:lang w:val="ro-RO"/>
        </w:rPr>
        <w:t>) 55% din veniturile suplimentare  obţinute în urma practicării unor preţuri mai mari decât 160 lei/MWh şi mai mici sau egale cu 175 lei/MWh;</w:t>
      </w:r>
    </w:p>
    <w:p w14:paraId="07536564" w14:textId="2DF784EC"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g</w:t>
      </w:r>
      <w:r w:rsidR="00B7788A" w:rsidRPr="006258E5">
        <w:rPr>
          <w:color w:val="000000" w:themeColor="text1"/>
          <w:sz w:val="18"/>
          <w:szCs w:val="18"/>
          <w:lang w:val="ro-RO"/>
        </w:rPr>
        <w:t>) 60% din veniturile suplimentare obţinute în urma practicării unor preţuri mai mari decât 175 lei/MWh şi mai mici sau egale cu 190 lei/MWh;</w:t>
      </w:r>
    </w:p>
    <w:p w14:paraId="25655F02" w14:textId="731D19B2" w:rsidR="00B7788A" w:rsidRPr="006258E5" w:rsidRDefault="005A3A90" w:rsidP="00053643">
      <w:pPr>
        <w:ind w:left="720"/>
        <w:jc w:val="both"/>
        <w:rPr>
          <w:color w:val="000000" w:themeColor="text1"/>
          <w:sz w:val="18"/>
          <w:szCs w:val="18"/>
          <w:lang w:val="ro-RO"/>
        </w:rPr>
      </w:pPr>
      <w:r w:rsidRPr="006258E5">
        <w:rPr>
          <w:color w:val="000000" w:themeColor="text1"/>
          <w:sz w:val="18"/>
          <w:szCs w:val="18"/>
          <w:lang w:val="ro-RO"/>
        </w:rPr>
        <w:t>h</w:t>
      </w:r>
      <w:r w:rsidR="00B7788A" w:rsidRPr="006258E5">
        <w:rPr>
          <w:color w:val="000000" w:themeColor="text1"/>
          <w:sz w:val="18"/>
          <w:szCs w:val="18"/>
          <w:lang w:val="ro-RO"/>
        </w:rPr>
        <w:t xml:space="preserve">) 70% din veniturile suplimentare obţinute în urma practicării unor preţuri mai mari decât 190 lei/MWh. </w:t>
      </w:r>
    </w:p>
    <w:p w14:paraId="3E6FAB04" w14:textId="77777777" w:rsidR="006258E5" w:rsidRPr="006258E5" w:rsidRDefault="006258E5" w:rsidP="00053643">
      <w:pPr>
        <w:ind w:left="720"/>
        <w:jc w:val="both"/>
        <w:rPr>
          <w:color w:val="000000" w:themeColor="text1"/>
          <w:sz w:val="18"/>
          <w:szCs w:val="18"/>
          <w:lang w:val="ro-RO"/>
        </w:rPr>
      </w:pPr>
    </w:p>
    <w:p w14:paraId="3CFA939D" w14:textId="0B939897" w:rsidR="00B7788A" w:rsidRDefault="00B7788A" w:rsidP="009F3735">
      <w:pPr>
        <w:ind w:left="360"/>
        <w:jc w:val="both"/>
        <w:rPr>
          <w:sz w:val="18"/>
          <w:szCs w:val="18"/>
          <w:lang w:val="ro-RO"/>
        </w:rPr>
      </w:pPr>
      <w:r w:rsidRPr="006258E5">
        <w:rPr>
          <w:sz w:val="18"/>
          <w:szCs w:val="18"/>
          <w:lang w:val="ro-RO"/>
        </w:rPr>
        <w:t xml:space="preserve">(4) Limita maximă a deducerii investiţiilor în segmentul upstream nu poate depăşi </w:t>
      </w:r>
      <w:r w:rsidRPr="006258E5">
        <w:rPr>
          <w:b/>
          <w:bCs/>
          <w:sz w:val="18"/>
          <w:szCs w:val="18"/>
          <w:lang w:val="ro-RO"/>
        </w:rPr>
        <w:t>40%</w:t>
      </w:r>
      <w:r w:rsidRPr="006258E5">
        <w:rPr>
          <w:sz w:val="18"/>
          <w:szCs w:val="18"/>
          <w:lang w:val="ro-RO"/>
        </w:rPr>
        <w:t xml:space="preserve"> din totalul impozitului pe veniturile suplimentare . </w:t>
      </w:r>
    </w:p>
    <w:p w14:paraId="38519C71" w14:textId="77777777" w:rsidR="006258E5" w:rsidRPr="006258E5" w:rsidRDefault="006258E5" w:rsidP="009F3735">
      <w:pPr>
        <w:ind w:left="360"/>
        <w:jc w:val="both"/>
        <w:rPr>
          <w:sz w:val="18"/>
          <w:szCs w:val="18"/>
          <w:lang w:val="ro-RO"/>
        </w:rPr>
      </w:pPr>
    </w:p>
    <w:p w14:paraId="59D9D6EF" w14:textId="70652DC1" w:rsidR="007C64DA" w:rsidRDefault="007C64DA" w:rsidP="007C64DA">
      <w:pPr>
        <w:ind w:left="360"/>
        <w:jc w:val="both"/>
        <w:rPr>
          <w:sz w:val="18"/>
          <w:szCs w:val="18"/>
          <w:lang w:val="ro-RO"/>
        </w:rPr>
      </w:pPr>
      <w:r w:rsidRPr="006258E5">
        <w:rPr>
          <w:sz w:val="18"/>
          <w:szCs w:val="18"/>
          <w:lang w:val="ro-RO"/>
        </w:rPr>
        <w:t>(5) Operatorii economici prevăzuţi la alin. (1) calculează, declară şi plătesc lunar impozitul suplimentar</w:t>
      </w:r>
      <w:r w:rsidR="007A7619" w:rsidRPr="006258E5">
        <w:rPr>
          <w:sz w:val="18"/>
          <w:szCs w:val="18"/>
          <w:lang w:val="ro-RO"/>
        </w:rPr>
        <w:t xml:space="preserve">, </w:t>
      </w:r>
      <w:r w:rsidRPr="006258E5">
        <w:rPr>
          <w:sz w:val="18"/>
          <w:szCs w:val="18"/>
          <w:lang w:val="ro-RO"/>
        </w:rPr>
        <w:t>până la data de 25 a lunii următoare celei pentru care datorează impozitul.</w:t>
      </w:r>
    </w:p>
    <w:p w14:paraId="749925D8" w14:textId="77777777" w:rsidR="006258E5" w:rsidRPr="006258E5" w:rsidRDefault="006258E5" w:rsidP="007C64DA">
      <w:pPr>
        <w:ind w:left="360"/>
        <w:jc w:val="both"/>
        <w:rPr>
          <w:sz w:val="18"/>
          <w:szCs w:val="18"/>
          <w:lang w:val="ro-RO"/>
        </w:rPr>
      </w:pPr>
    </w:p>
    <w:p w14:paraId="5175E7EA" w14:textId="324DBC7E" w:rsidR="007C64DA" w:rsidRDefault="007C64DA" w:rsidP="007C64DA">
      <w:pPr>
        <w:ind w:left="360"/>
        <w:jc w:val="both"/>
        <w:rPr>
          <w:sz w:val="18"/>
          <w:szCs w:val="18"/>
          <w:lang w:val="ro-RO"/>
        </w:rPr>
      </w:pPr>
      <w:r w:rsidRPr="006258E5">
        <w:rPr>
          <w:sz w:val="18"/>
          <w:szCs w:val="18"/>
          <w:lang w:val="ro-RO"/>
        </w:rPr>
        <w:t xml:space="preserve">(6) Modelul şi conţinutul declaraţiei privind impozitul asupra veniturilor suplimentare se stabilesc prin ordin al preşedintelui Agenţiei Naţionale de Administrare Fiscală, în termen de 30 de zile de la data intrării în vigoare a prezentei legi. </w:t>
      </w:r>
    </w:p>
    <w:p w14:paraId="6B44EC56" w14:textId="77777777" w:rsidR="006258E5" w:rsidRPr="006258E5" w:rsidRDefault="006258E5" w:rsidP="007C64DA">
      <w:pPr>
        <w:ind w:left="360"/>
        <w:jc w:val="both"/>
        <w:rPr>
          <w:sz w:val="18"/>
          <w:szCs w:val="18"/>
          <w:lang w:val="ro-RO"/>
        </w:rPr>
      </w:pPr>
    </w:p>
    <w:p w14:paraId="23B70806" w14:textId="4E2B92C8" w:rsidR="00B7788A" w:rsidRDefault="00B7788A" w:rsidP="007C64DA">
      <w:pPr>
        <w:ind w:left="360"/>
        <w:jc w:val="both"/>
        <w:rPr>
          <w:sz w:val="18"/>
          <w:szCs w:val="18"/>
          <w:lang w:val="ro-RO"/>
        </w:rPr>
      </w:pPr>
      <w:r w:rsidRPr="006258E5">
        <w:rPr>
          <w:sz w:val="18"/>
          <w:szCs w:val="18"/>
          <w:lang w:val="ro-RO"/>
        </w:rPr>
        <w:t xml:space="preserve">(7) În măsura în care aplicarea prezentelor prevederi impune emiterea de instrucţiuni cu privire la impozitul asupra veniturilor suplimentare, acestea vor fi emise prin ordin comun al ministrului finanţelor publice şi al ministrului energiei, cu avizul autorității competente. </w:t>
      </w:r>
    </w:p>
    <w:p w14:paraId="78AAE017" w14:textId="77777777" w:rsidR="006258E5" w:rsidRPr="006258E5" w:rsidRDefault="006258E5" w:rsidP="007C64DA">
      <w:pPr>
        <w:ind w:left="360"/>
        <w:jc w:val="both"/>
        <w:rPr>
          <w:sz w:val="18"/>
          <w:szCs w:val="18"/>
          <w:lang w:val="ro-RO"/>
        </w:rPr>
      </w:pPr>
    </w:p>
    <w:p w14:paraId="3FBB95F6" w14:textId="2BFD93E8" w:rsidR="00B7788A" w:rsidRDefault="00B7788A" w:rsidP="009F3735">
      <w:pPr>
        <w:ind w:left="360"/>
        <w:jc w:val="both"/>
        <w:rPr>
          <w:sz w:val="18"/>
          <w:szCs w:val="18"/>
          <w:lang w:val="ro-RO"/>
        </w:rPr>
      </w:pPr>
      <w:r w:rsidRPr="006258E5">
        <w:rPr>
          <w:sz w:val="18"/>
          <w:szCs w:val="18"/>
          <w:lang w:val="ro-RO"/>
        </w:rPr>
        <w:t xml:space="preserve">(8) Sumele datorate de titularii de acorduri petroliere referitoare la perimetrele offshore </w:t>
      </w:r>
      <w:r w:rsidR="008B0808">
        <w:rPr>
          <w:sz w:val="18"/>
          <w:szCs w:val="18"/>
          <w:lang w:val="ro-RO"/>
        </w:rPr>
        <w:t xml:space="preserve">și onshore de adâncime </w:t>
      </w:r>
      <w:r w:rsidRPr="006258E5">
        <w:rPr>
          <w:sz w:val="18"/>
          <w:szCs w:val="18"/>
          <w:lang w:val="ro-RO"/>
        </w:rPr>
        <w:t>ca impozit asupra veniturilor suplimentare</w:t>
      </w:r>
      <w:r w:rsidR="00105BBD">
        <w:rPr>
          <w:sz w:val="18"/>
          <w:szCs w:val="18"/>
          <w:lang w:val="ro-RO"/>
        </w:rPr>
        <w:t>,</w:t>
      </w:r>
      <w:r w:rsidRPr="006258E5">
        <w:rPr>
          <w:sz w:val="18"/>
          <w:szCs w:val="18"/>
          <w:lang w:val="ro-RO"/>
        </w:rPr>
        <w:t xml:space="preserve"> se colectează într-un cont special utilizat pentru finanţarea înfiinţării şi extinderii reţelelor de distribuţie a gazelor naturale şi a racordurilor la sistemul naţional de transport gaze naturale, precum şi alte investiţii stabilite prin hotărâre a Guvernului. Repartizarea sumelor colectate se face prin hotărâre a Guvernului. Colectarea impozitului asupra veniturilor suplimentare  se administrează de către Agenţia Naţională de Administrare Fiscală, potrivit Legii nr. 207/2015, cu modificările şi completările ulterioare.</w:t>
      </w:r>
    </w:p>
    <w:p w14:paraId="63BA4A7D" w14:textId="77777777" w:rsidR="006258E5" w:rsidRPr="006258E5" w:rsidRDefault="006258E5" w:rsidP="009F3735">
      <w:pPr>
        <w:ind w:left="360"/>
        <w:jc w:val="both"/>
        <w:rPr>
          <w:sz w:val="18"/>
          <w:szCs w:val="18"/>
          <w:lang w:val="ro-RO"/>
        </w:rPr>
      </w:pPr>
    </w:p>
    <w:p w14:paraId="1A74D8A9" w14:textId="5CEA2B16" w:rsidR="00B7788A" w:rsidRPr="006258E5" w:rsidRDefault="00B7788A" w:rsidP="009F3735">
      <w:pPr>
        <w:ind w:left="360"/>
        <w:jc w:val="both"/>
        <w:rPr>
          <w:sz w:val="18"/>
          <w:szCs w:val="18"/>
          <w:lang w:val="ro-RO"/>
        </w:rPr>
      </w:pPr>
      <w:r w:rsidRPr="006258E5">
        <w:rPr>
          <w:sz w:val="18"/>
          <w:szCs w:val="18"/>
          <w:lang w:val="ro-RO"/>
        </w:rPr>
        <w:t>(9) Valoarea cumulată a investiţiilor în segmentul upstream, înregistrate în evidenţa contabilă potrivit reglementărilor legale în vigoare, de la intrarea în vigoare a prezentei legi până în luna pentru care se calculează impozitul asupra veniturilor suplimentare, precum şi valoarea investiţiilor, care au fost înregistrate în evidenţa contabilă până la data intrării în vigoare a prezentei legi, se diminuează lunar cu valoarea investiţiilor în segmentul upstream deduse din impozitul pe veniturile suplimentare.  Deducerile se aplică până la atingerea valorii cumulate a investiţiilor în segmentul upstream, înregistrate în evidenţa contabilă conform legilor în vigoare.</w:t>
      </w:r>
    </w:p>
    <w:p w14:paraId="0FA87A27" w14:textId="411D05CD" w:rsidR="00B7788A" w:rsidRPr="006258E5" w:rsidRDefault="00B7788A" w:rsidP="009F3735">
      <w:pPr>
        <w:ind w:left="360"/>
        <w:jc w:val="both"/>
        <w:rPr>
          <w:sz w:val="18"/>
          <w:szCs w:val="18"/>
          <w:lang w:val="ro-RO"/>
        </w:rPr>
      </w:pPr>
      <w:r w:rsidRPr="006258E5">
        <w:rPr>
          <w:sz w:val="18"/>
          <w:szCs w:val="18"/>
          <w:lang w:val="ro-RO"/>
        </w:rPr>
        <w:t>ANRM și Agenţia Naţională de Administrare Fiscală verifică, conform competențelor,  realizarea investițiilor în segmentul upstream deduse din impozitul pe veniturile suplimentare .</w:t>
      </w:r>
    </w:p>
    <w:p w14:paraId="5B04F09C" w14:textId="3CB7AED8" w:rsidR="00105BBD" w:rsidRDefault="00B7788A" w:rsidP="00045F4C">
      <w:pPr>
        <w:spacing w:before="240"/>
        <w:ind w:left="360"/>
        <w:jc w:val="both"/>
        <w:rPr>
          <w:sz w:val="18"/>
          <w:szCs w:val="18"/>
          <w:lang w:val="ro-RO"/>
        </w:rPr>
      </w:pPr>
      <w:r w:rsidRPr="006258E5">
        <w:rPr>
          <w:sz w:val="18"/>
          <w:szCs w:val="18"/>
          <w:lang w:val="ro-RO"/>
        </w:rPr>
        <w:t>(10) În cazul înstrăinării investiţiilor pentru care s-a beneficiat de deducerea prevăzută la alin. (3) şi (4), deducerea acordată se scade din valoarea cumulată a investiţiilor în segmentul upstream proporţional cu raportul dintre valoarea investiţiilor cedate şi valoarea investiţiilor înregistrate în segmentul upstream în perioada de referinţă în care a fost acordată.</w:t>
      </w:r>
    </w:p>
    <w:p w14:paraId="6DBB6BD5" w14:textId="77777777" w:rsidR="00045F4C" w:rsidRPr="006258E5" w:rsidRDefault="00045F4C" w:rsidP="00045F4C">
      <w:pPr>
        <w:spacing w:before="240"/>
        <w:ind w:left="360"/>
        <w:jc w:val="both"/>
        <w:rPr>
          <w:sz w:val="18"/>
          <w:szCs w:val="18"/>
          <w:lang w:val="ro-RO"/>
        </w:rPr>
      </w:pPr>
    </w:p>
    <w:p w14:paraId="5D1AA8A6" w14:textId="2F27C9E8" w:rsidR="00AF08F0" w:rsidRPr="006258E5" w:rsidRDefault="00B7788A" w:rsidP="005F54D8">
      <w:pPr>
        <w:ind w:left="360"/>
        <w:jc w:val="both"/>
        <w:rPr>
          <w:sz w:val="18"/>
          <w:szCs w:val="18"/>
          <w:lang w:val="ro-RO"/>
        </w:rPr>
      </w:pPr>
      <w:r w:rsidRPr="006258E5">
        <w:rPr>
          <w:sz w:val="18"/>
          <w:szCs w:val="18"/>
          <w:lang w:val="ro-RO"/>
        </w:rPr>
        <w:t>(11) Impozitul asupra veniturilor suplimentare, calculat în condițiile prezentei legi, reprezintă, pentru operatorii economici cheltuială deductibilă la stabilirea rezultatului fiscal, în condițiile prevederilor Legii nr. 227/2015 privind Codul fiscal, cu modificările și completările ulterioare</w:t>
      </w:r>
      <w:r w:rsidR="003640A5" w:rsidRPr="006258E5">
        <w:rPr>
          <w:sz w:val="18"/>
          <w:szCs w:val="18"/>
          <w:lang w:val="ro-RO"/>
        </w:rPr>
        <w:t>”</w:t>
      </w:r>
    </w:p>
    <w:p w14:paraId="7AF33ECE" w14:textId="77777777" w:rsidR="005F54D8" w:rsidRPr="006258E5" w:rsidRDefault="005F54D8" w:rsidP="005F54D8">
      <w:pPr>
        <w:ind w:left="360"/>
        <w:jc w:val="both"/>
        <w:rPr>
          <w:sz w:val="18"/>
          <w:szCs w:val="18"/>
          <w:lang w:val="ro-RO"/>
        </w:rPr>
      </w:pPr>
    </w:p>
    <w:p w14:paraId="22ECB65A" w14:textId="025CBD0B" w:rsidR="00B7788A" w:rsidRPr="006258E5" w:rsidRDefault="6D0EB5A1" w:rsidP="00B7788A">
      <w:pPr>
        <w:pStyle w:val="ListParagraph"/>
        <w:numPr>
          <w:ilvl w:val="0"/>
          <w:numId w:val="17"/>
        </w:numPr>
        <w:autoSpaceDE w:val="0"/>
        <w:autoSpaceDN w:val="0"/>
        <w:adjustRightInd w:val="0"/>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0D11A88D"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20 se modifică </w:t>
      </w:r>
      <w:r w:rsidR="19D1DF3B" w:rsidRPr="006258E5">
        <w:rPr>
          <w:rFonts w:ascii="Times New Roman" w:hAnsi="Times New Roman" w:cs="Times New Roman"/>
          <w:b/>
          <w:bCs/>
          <w:sz w:val="18"/>
          <w:szCs w:val="18"/>
          <w:lang w:val="ro-RO"/>
        </w:rPr>
        <w:t>ș</w:t>
      </w:r>
      <w:r w:rsidRPr="006258E5">
        <w:rPr>
          <w:rFonts w:ascii="Times New Roman" w:hAnsi="Times New Roman" w:cs="Times New Roman"/>
          <w:b/>
          <w:bCs/>
          <w:sz w:val="18"/>
          <w:szCs w:val="18"/>
          <w:lang w:val="ro-RO"/>
        </w:rPr>
        <w:t>i se completează și va avea următorul conținut:</w:t>
      </w:r>
    </w:p>
    <w:p w14:paraId="4F8DD88B" w14:textId="0FFDEB9D" w:rsidR="00B7788A" w:rsidRPr="006258E5" w:rsidRDefault="6561E630" w:rsidP="0090728A">
      <w:pPr>
        <w:autoSpaceDE w:val="0"/>
        <w:autoSpaceDN w:val="0"/>
        <w:adjustRightInd w:val="0"/>
        <w:ind w:left="360"/>
        <w:contextualSpacing/>
        <w:jc w:val="both"/>
        <w:rPr>
          <w:sz w:val="18"/>
          <w:szCs w:val="18"/>
          <w:lang w:val="ro-RO"/>
        </w:rPr>
      </w:pPr>
      <w:r w:rsidRPr="006258E5">
        <w:rPr>
          <w:sz w:val="18"/>
          <w:szCs w:val="18"/>
          <w:lang w:val="ro-RO"/>
        </w:rPr>
        <w:t>„</w:t>
      </w:r>
      <w:r w:rsidR="6D0EB5A1" w:rsidRPr="006258E5">
        <w:rPr>
          <w:sz w:val="18"/>
          <w:szCs w:val="18"/>
          <w:lang w:val="ro-RO"/>
        </w:rPr>
        <w:t>Art</w:t>
      </w:r>
      <w:r w:rsidR="0090728A" w:rsidRPr="006258E5">
        <w:rPr>
          <w:sz w:val="18"/>
          <w:szCs w:val="18"/>
          <w:lang w:val="ro-RO"/>
        </w:rPr>
        <w:t>.</w:t>
      </w:r>
      <w:r w:rsidR="6D0EB5A1" w:rsidRPr="006258E5">
        <w:rPr>
          <w:sz w:val="18"/>
          <w:szCs w:val="18"/>
          <w:lang w:val="ro-RO"/>
        </w:rPr>
        <w:t xml:space="preserve"> 20 </w:t>
      </w:r>
      <w:r w:rsidR="42FE93C5" w:rsidRPr="006258E5">
        <w:rPr>
          <w:sz w:val="18"/>
          <w:szCs w:val="18"/>
          <w:lang w:val="ro-RO"/>
        </w:rPr>
        <w:t xml:space="preserve">- </w:t>
      </w:r>
      <w:r w:rsidR="6D0EB5A1" w:rsidRPr="006258E5">
        <w:rPr>
          <w:sz w:val="18"/>
          <w:szCs w:val="18"/>
          <w:lang w:val="ro-RO"/>
        </w:rPr>
        <w:t>(1) Pe toată durata derulării acordurilor petroliere referitoare la perimetre petroliere offshore</w:t>
      </w:r>
      <w:r w:rsidR="002D56BD" w:rsidRPr="006258E5">
        <w:rPr>
          <w:sz w:val="18"/>
          <w:szCs w:val="18"/>
          <w:lang w:val="ro-RO"/>
        </w:rPr>
        <w:t xml:space="preserve"> și onshore </w:t>
      </w:r>
      <w:r w:rsidR="008B0808">
        <w:rPr>
          <w:sz w:val="18"/>
          <w:szCs w:val="18"/>
          <w:lang w:val="ro-RO"/>
        </w:rPr>
        <w:t>de adâncime</w:t>
      </w:r>
      <w:r w:rsidR="6D0EB5A1" w:rsidRPr="006258E5">
        <w:rPr>
          <w:sz w:val="18"/>
          <w:szCs w:val="18"/>
          <w:lang w:val="ro-RO"/>
        </w:rPr>
        <w:t xml:space="preserve">, titularii acordurilor, inclusiv operatorii economici afiliați acestora: </w:t>
      </w:r>
    </w:p>
    <w:p w14:paraId="0FB9297C" w14:textId="620C9AEB" w:rsidR="00B7788A" w:rsidRPr="006258E5" w:rsidRDefault="6D0EB5A1" w:rsidP="00C45DFB">
      <w:pPr>
        <w:ind w:left="1068"/>
        <w:jc w:val="both"/>
        <w:rPr>
          <w:sz w:val="18"/>
          <w:szCs w:val="18"/>
          <w:lang w:val="ro-RO"/>
        </w:rPr>
      </w:pPr>
      <w:r w:rsidRPr="006258E5">
        <w:rPr>
          <w:sz w:val="18"/>
          <w:szCs w:val="18"/>
          <w:lang w:val="ro-RO"/>
        </w:rPr>
        <w:t xml:space="preserve">a) au dreptul de a comercializa în mod liber hidrocarburile produse din perimetrele petroliere </w:t>
      </w:r>
      <w:r w:rsidR="005B1FCA">
        <w:rPr>
          <w:sz w:val="18"/>
          <w:szCs w:val="18"/>
          <w:lang w:val="ro-RO"/>
        </w:rPr>
        <w:t>respective</w:t>
      </w:r>
      <w:r w:rsidRPr="006258E5">
        <w:rPr>
          <w:sz w:val="18"/>
          <w:szCs w:val="18"/>
          <w:lang w:val="ro-RO"/>
        </w:rPr>
        <w:t>, la prețurile și în cantitățile determinate de către aceştia, în acord cu</w:t>
      </w:r>
      <w:r w:rsidR="00194C94" w:rsidRPr="006258E5">
        <w:rPr>
          <w:color w:val="FF0000"/>
          <w:sz w:val="18"/>
          <w:szCs w:val="18"/>
          <w:lang w:val="ro-RO"/>
        </w:rPr>
        <w:t xml:space="preserve"> </w:t>
      </w:r>
      <w:r w:rsidR="00194C94" w:rsidRPr="006258E5">
        <w:rPr>
          <w:color w:val="000000" w:themeColor="text1"/>
          <w:sz w:val="18"/>
          <w:szCs w:val="18"/>
          <w:lang w:val="ro-RO"/>
        </w:rPr>
        <w:t xml:space="preserve">legislatia </w:t>
      </w:r>
      <w:r w:rsidR="002D557D" w:rsidRPr="006258E5">
        <w:rPr>
          <w:color w:val="000000" w:themeColor="text1"/>
          <w:sz w:val="18"/>
          <w:szCs w:val="18"/>
          <w:lang w:val="ro-RO"/>
        </w:rPr>
        <w:t>națională</w:t>
      </w:r>
      <w:r w:rsidR="00194C94" w:rsidRPr="006258E5">
        <w:rPr>
          <w:color w:val="000000" w:themeColor="text1"/>
          <w:sz w:val="18"/>
          <w:szCs w:val="18"/>
          <w:lang w:val="ro-RO"/>
        </w:rPr>
        <w:t xml:space="preserve"> </w:t>
      </w:r>
      <w:r w:rsidR="00194C94" w:rsidRPr="006258E5">
        <w:rPr>
          <w:sz w:val="18"/>
          <w:szCs w:val="18"/>
          <w:lang w:val="ro-RO"/>
        </w:rPr>
        <w:t xml:space="preserve">precum si cu </w:t>
      </w:r>
      <w:r w:rsidRPr="006258E5">
        <w:rPr>
          <w:sz w:val="18"/>
          <w:szCs w:val="18"/>
          <w:lang w:val="ro-RO"/>
        </w:rPr>
        <w:t>principiile Uniunii Europene de piață liberă;</w:t>
      </w:r>
    </w:p>
    <w:p w14:paraId="3F3883CE" w14:textId="709F803D" w:rsidR="00B7788A" w:rsidRPr="006258E5" w:rsidRDefault="6D0EB5A1" w:rsidP="00AF08F0">
      <w:pPr>
        <w:ind w:left="1068"/>
        <w:jc w:val="both"/>
        <w:rPr>
          <w:sz w:val="18"/>
          <w:szCs w:val="18"/>
          <w:lang w:val="ro-RO"/>
        </w:rPr>
      </w:pPr>
      <w:r w:rsidRPr="006258E5">
        <w:rPr>
          <w:sz w:val="18"/>
          <w:szCs w:val="18"/>
          <w:lang w:val="ro-RO"/>
        </w:rPr>
        <w:lastRenderedPageBreak/>
        <w:t xml:space="preserve">b) nu pot face obiectul unor restrictii referitoare la preţ, comercializare, ofertare şi/sau vanzare a hidrocarburilor după data de 31 decembrie 2022, cu excepţia prevederilor legale obligatorii </w:t>
      </w:r>
      <w:r w:rsidR="00194C94" w:rsidRPr="006258E5">
        <w:rPr>
          <w:color w:val="000000" w:themeColor="text1"/>
          <w:sz w:val="18"/>
          <w:szCs w:val="18"/>
          <w:lang w:val="ro-RO"/>
        </w:rPr>
        <w:t>din Rom</w:t>
      </w:r>
      <w:r w:rsidR="004F6536" w:rsidRPr="006258E5">
        <w:rPr>
          <w:color w:val="000000" w:themeColor="text1"/>
          <w:sz w:val="18"/>
          <w:szCs w:val="18"/>
          <w:lang w:val="ro-RO"/>
        </w:rPr>
        <w:t>â</w:t>
      </w:r>
      <w:r w:rsidR="00194C94" w:rsidRPr="006258E5">
        <w:rPr>
          <w:color w:val="000000" w:themeColor="text1"/>
          <w:sz w:val="18"/>
          <w:szCs w:val="18"/>
          <w:lang w:val="ro-RO"/>
        </w:rPr>
        <w:t xml:space="preserve">nia </w:t>
      </w:r>
      <w:r w:rsidR="00194C94" w:rsidRPr="006258E5">
        <w:rPr>
          <w:sz w:val="18"/>
          <w:szCs w:val="18"/>
          <w:lang w:val="ro-RO"/>
        </w:rPr>
        <w:t xml:space="preserve">precum si </w:t>
      </w:r>
      <w:r w:rsidRPr="006258E5">
        <w:rPr>
          <w:sz w:val="18"/>
          <w:szCs w:val="18"/>
          <w:lang w:val="ro-RO"/>
        </w:rPr>
        <w:t>ale Uniunii Europene;</w:t>
      </w:r>
    </w:p>
    <w:p w14:paraId="77F76B28" w14:textId="176B2BFB" w:rsidR="00250FCE" w:rsidRPr="006258E5" w:rsidRDefault="00250FCE" w:rsidP="008B0808">
      <w:pPr>
        <w:pStyle w:val="Heading3"/>
        <w:ind w:left="720" w:firstLine="360"/>
        <w:rPr>
          <w:b w:val="0"/>
          <w:bCs w:val="0"/>
          <w:color w:val="000000" w:themeColor="text1"/>
          <w:spacing w:val="5"/>
        </w:rPr>
      </w:pPr>
      <w:r w:rsidRPr="006258E5">
        <w:rPr>
          <w:b w:val="0"/>
          <w:bCs w:val="0"/>
          <w:color w:val="000000" w:themeColor="text1"/>
          <w:sz w:val="18"/>
          <w:szCs w:val="18"/>
          <w:lang w:val="ro-RO"/>
        </w:rPr>
        <w:t>(</w:t>
      </w:r>
      <w:r w:rsidR="000F538C" w:rsidRPr="006258E5">
        <w:rPr>
          <w:b w:val="0"/>
          <w:bCs w:val="0"/>
          <w:color w:val="000000" w:themeColor="text1"/>
          <w:sz w:val="18"/>
          <w:szCs w:val="18"/>
          <w:lang w:val="ro-RO"/>
        </w:rPr>
        <w:t>3</w:t>
      </w:r>
      <w:r w:rsidRPr="006258E5">
        <w:rPr>
          <w:b w:val="0"/>
          <w:bCs w:val="0"/>
          <w:color w:val="000000" w:themeColor="text1"/>
          <w:sz w:val="18"/>
          <w:szCs w:val="18"/>
          <w:lang w:val="ro-RO"/>
        </w:rPr>
        <w:t>) Prin derogare de la aliniatul (1)</w:t>
      </w:r>
      <w:r w:rsidR="00105BBD">
        <w:rPr>
          <w:b w:val="0"/>
          <w:bCs w:val="0"/>
          <w:color w:val="000000" w:themeColor="text1"/>
          <w:sz w:val="18"/>
          <w:szCs w:val="18"/>
          <w:lang w:val="ro-RO"/>
        </w:rPr>
        <w:t xml:space="preserve"> si/sau (2),</w:t>
      </w:r>
      <w:r w:rsidRPr="006258E5">
        <w:rPr>
          <w:b w:val="0"/>
          <w:bCs w:val="0"/>
          <w:color w:val="000000" w:themeColor="text1"/>
          <w:sz w:val="18"/>
          <w:szCs w:val="18"/>
          <w:lang w:val="ro-RO"/>
        </w:rPr>
        <w:t xml:space="preserve"> Guvernul, </w:t>
      </w:r>
      <w:r w:rsidR="00180227" w:rsidRPr="006258E5">
        <w:rPr>
          <w:b w:val="0"/>
          <w:bCs w:val="0"/>
          <w:color w:val="000000" w:themeColor="text1"/>
          <w:sz w:val="18"/>
          <w:szCs w:val="18"/>
          <w:lang w:val="ro-RO"/>
        </w:rPr>
        <w:t xml:space="preserve">prin Hotarare de Guvern, la propunerea Ministerului Energiei, </w:t>
      </w:r>
      <w:r w:rsidRPr="006258E5">
        <w:rPr>
          <w:b w:val="0"/>
          <w:bCs w:val="0"/>
          <w:color w:val="000000" w:themeColor="text1"/>
          <w:sz w:val="18"/>
          <w:szCs w:val="18"/>
          <w:lang w:val="ro-RO"/>
        </w:rPr>
        <w:t>in situatie de criza energetica si/sau de distorsiune a aprovizionarii cu gaze naturale a Romaniei</w:t>
      </w:r>
      <w:r w:rsidR="00180227" w:rsidRPr="006258E5">
        <w:rPr>
          <w:b w:val="0"/>
          <w:bCs w:val="0"/>
          <w:color w:val="000000" w:themeColor="text1"/>
          <w:sz w:val="18"/>
          <w:szCs w:val="18"/>
          <w:lang w:val="ro-RO"/>
        </w:rPr>
        <w:t>,</w:t>
      </w:r>
      <w:r w:rsidRPr="006258E5">
        <w:rPr>
          <w:b w:val="0"/>
          <w:bCs w:val="0"/>
          <w:color w:val="000000" w:themeColor="text1"/>
          <w:sz w:val="18"/>
          <w:szCs w:val="18"/>
          <w:lang w:val="ro-RO"/>
        </w:rPr>
        <w:t xml:space="preserve"> poate lua m</w:t>
      </w:r>
      <w:r w:rsidR="00616041" w:rsidRPr="006258E5">
        <w:rPr>
          <w:b w:val="0"/>
          <w:bCs w:val="0"/>
          <w:color w:val="000000" w:themeColor="text1"/>
          <w:sz w:val="18"/>
          <w:szCs w:val="18"/>
          <w:lang w:val="ro-RO"/>
        </w:rPr>
        <w:t>ă</w:t>
      </w:r>
      <w:r w:rsidRPr="006258E5">
        <w:rPr>
          <w:b w:val="0"/>
          <w:bCs w:val="0"/>
          <w:color w:val="000000" w:themeColor="text1"/>
          <w:sz w:val="18"/>
          <w:szCs w:val="18"/>
          <w:lang w:val="ro-RO"/>
        </w:rPr>
        <w:t xml:space="preserve">suri de </w:t>
      </w:r>
      <w:r w:rsidR="00180227" w:rsidRPr="006258E5">
        <w:rPr>
          <w:b w:val="0"/>
          <w:bCs w:val="0"/>
          <w:color w:val="000000" w:themeColor="text1"/>
          <w:sz w:val="18"/>
          <w:szCs w:val="18"/>
          <w:lang w:val="ro-RO"/>
        </w:rPr>
        <w:t>v</w:t>
      </w:r>
      <w:r w:rsidR="00616041" w:rsidRPr="006258E5">
        <w:rPr>
          <w:b w:val="0"/>
          <w:bCs w:val="0"/>
          <w:color w:val="000000" w:themeColor="text1"/>
          <w:sz w:val="18"/>
          <w:szCs w:val="18"/>
          <w:lang w:val="ro-RO"/>
        </w:rPr>
        <w:t>â</w:t>
      </w:r>
      <w:r w:rsidR="00180227" w:rsidRPr="006258E5">
        <w:rPr>
          <w:b w:val="0"/>
          <w:bCs w:val="0"/>
          <w:color w:val="000000" w:themeColor="text1"/>
          <w:sz w:val="18"/>
          <w:szCs w:val="18"/>
          <w:lang w:val="ro-RO"/>
        </w:rPr>
        <w:t xml:space="preserve">nzare cu prioritate </w:t>
      </w:r>
      <w:r w:rsidR="00616041" w:rsidRPr="006258E5">
        <w:rPr>
          <w:b w:val="0"/>
          <w:bCs w:val="0"/>
          <w:color w:val="000000" w:themeColor="text1"/>
          <w:sz w:val="18"/>
          <w:szCs w:val="18"/>
          <w:lang w:val="ro-RO"/>
        </w:rPr>
        <w:t>î</w:t>
      </w:r>
      <w:r w:rsidR="00FD5C69" w:rsidRPr="006258E5">
        <w:rPr>
          <w:b w:val="0"/>
          <w:bCs w:val="0"/>
          <w:color w:val="000000" w:themeColor="text1"/>
          <w:sz w:val="18"/>
          <w:szCs w:val="18"/>
          <w:lang w:val="ro-RO"/>
        </w:rPr>
        <w:t xml:space="preserve">n Romania, </w:t>
      </w:r>
      <w:r w:rsidR="00180227" w:rsidRPr="006258E5">
        <w:rPr>
          <w:b w:val="0"/>
          <w:bCs w:val="0"/>
          <w:color w:val="000000" w:themeColor="text1"/>
          <w:sz w:val="18"/>
          <w:szCs w:val="18"/>
          <w:lang w:val="ro-RO"/>
        </w:rPr>
        <w:t>a canti</w:t>
      </w:r>
      <w:r w:rsidR="00616041" w:rsidRPr="006258E5">
        <w:rPr>
          <w:b w:val="0"/>
          <w:bCs w:val="0"/>
          <w:color w:val="000000" w:themeColor="text1"/>
          <w:sz w:val="18"/>
          <w:szCs w:val="18"/>
          <w:lang w:val="ro-RO"/>
        </w:rPr>
        <w:t>tăț</w:t>
      </w:r>
      <w:r w:rsidR="00180227" w:rsidRPr="006258E5">
        <w:rPr>
          <w:b w:val="0"/>
          <w:bCs w:val="0"/>
          <w:color w:val="000000" w:themeColor="text1"/>
          <w:sz w:val="18"/>
          <w:szCs w:val="18"/>
          <w:lang w:val="ro-RO"/>
        </w:rPr>
        <w:t xml:space="preserve">ilor de gaze naturale extrase din perimetrele </w:t>
      </w:r>
      <w:r w:rsidR="005B1FCA">
        <w:rPr>
          <w:b w:val="0"/>
          <w:bCs w:val="0"/>
          <w:color w:val="000000" w:themeColor="text1"/>
          <w:sz w:val="18"/>
          <w:szCs w:val="18"/>
          <w:lang w:val="ro-RO"/>
        </w:rPr>
        <w:t>respective</w:t>
      </w:r>
      <w:r w:rsidR="00FD5C69" w:rsidRPr="006258E5">
        <w:rPr>
          <w:b w:val="0"/>
          <w:bCs w:val="0"/>
          <w:color w:val="000000" w:themeColor="text1"/>
          <w:sz w:val="18"/>
          <w:szCs w:val="18"/>
          <w:lang w:val="ro-RO"/>
        </w:rPr>
        <w:t>.</w:t>
      </w:r>
    </w:p>
    <w:p w14:paraId="762553CB" w14:textId="3ACCFE47" w:rsidR="00B7788A" w:rsidRPr="006258E5" w:rsidRDefault="6D0EB5A1" w:rsidP="00C45DFB">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1B662B01"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21 se modifică </w:t>
      </w:r>
      <w:r w:rsidR="19D1DF3B" w:rsidRPr="006258E5">
        <w:rPr>
          <w:rFonts w:ascii="Times New Roman" w:hAnsi="Times New Roman" w:cs="Times New Roman"/>
          <w:b/>
          <w:bCs/>
          <w:sz w:val="18"/>
          <w:szCs w:val="18"/>
          <w:lang w:val="ro-RO"/>
        </w:rPr>
        <w:t xml:space="preserve">și se completează </w:t>
      </w:r>
      <w:r w:rsidRPr="006258E5">
        <w:rPr>
          <w:rFonts w:ascii="Times New Roman" w:hAnsi="Times New Roman" w:cs="Times New Roman"/>
          <w:b/>
          <w:bCs/>
          <w:sz w:val="18"/>
          <w:szCs w:val="18"/>
          <w:lang w:val="ro-RO"/>
        </w:rPr>
        <w:t>şi va avea următorul cuprins:</w:t>
      </w:r>
    </w:p>
    <w:p w14:paraId="110C8A69" w14:textId="4FDC7817" w:rsidR="00B7788A" w:rsidRPr="006258E5" w:rsidRDefault="6561E630" w:rsidP="00C45DFB">
      <w:pPr>
        <w:ind w:left="360"/>
        <w:jc w:val="both"/>
        <w:rPr>
          <w:sz w:val="18"/>
          <w:szCs w:val="18"/>
          <w:lang w:val="ro-RO"/>
        </w:rPr>
      </w:pPr>
      <w:r w:rsidRPr="006258E5">
        <w:rPr>
          <w:sz w:val="18"/>
          <w:szCs w:val="18"/>
          <w:lang w:val="ro-RO"/>
        </w:rPr>
        <w:t>„</w:t>
      </w:r>
      <w:r w:rsidR="6D0EB5A1" w:rsidRPr="006258E5">
        <w:rPr>
          <w:sz w:val="18"/>
          <w:szCs w:val="18"/>
          <w:lang w:val="ro-RO"/>
        </w:rPr>
        <w:t>Art. 21</w:t>
      </w:r>
      <w:r w:rsidR="0C51396B" w:rsidRPr="006258E5">
        <w:rPr>
          <w:sz w:val="18"/>
          <w:szCs w:val="18"/>
          <w:lang w:val="ro-RO"/>
        </w:rPr>
        <w:t xml:space="preserve"> -</w:t>
      </w:r>
      <w:r w:rsidR="6D0EB5A1" w:rsidRPr="006258E5">
        <w:rPr>
          <w:sz w:val="18"/>
          <w:szCs w:val="18"/>
          <w:lang w:val="ro-RO"/>
        </w:rPr>
        <w:t xml:space="preserve"> (1) Regimul de redevenţe şi regimul fiscal specific aplicabil activităţilor de explorare, dezvoltare, exploatare şi abandonare prevăzute la art. 18 și art. 19 nu se vor modifica, indiferent sub ce formă, în favoarea sau în defavoarea titularilor de acorduri petroliere referitoare la perimetre petroliere</w:t>
      </w:r>
      <w:r w:rsidR="008B0808">
        <w:rPr>
          <w:sz w:val="18"/>
          <w:szCs w:val="18"/>
          <w:lang w:val="ro-RO"/>
        </w:rPr>
        <w:t xml:space="preserve"> offshore și onshore de adâncime</w:t>
      </w:r>
      <w:r w:rsidR="6D0EB5A1" w:rsidRPr="006258E5">
        <w:rPr>
          <w:sz w:val="18"/>
          <w:szCs w:val="18"/>
          <w:lang w:val="ro-RO"/>
        </w:rPr>
        <w:t>, pe toată durata acordurilor.</w:t>
      </w:r>
    </w:p>
    <w:p w14:paraId="292694C5" w14:textId="60BD4BB6" w:rsidR="00B7788A" w:rsidRPr="006258E5" w:rsidRDefault="6D0EB5A1" w:rsidP="00C45DFB">
      <w:pPr>
        <w:ind w:firstLine="360"/>
        <w:jc w:val="both"/>
        <w:rPr>
          <w:sz w:val="18"/>
          <w:szCs w:val="18"/>
          <w:lang w:val="ro-RO"/>
        </w:rPr>
      </w:pPr>
      <w:r w:rsidRPr="006258E5">
        <w:rPr>
          <w:sz w:val="18"/>
          <w:szCs w:val="18"/>
          <w:lang w:val="ro-RO"/>
        </w:rPr>
        <w:t>(2) Prevederile art. 20 vor rămâne nemodificate pe toată durata acordurilor.</w:t>
      </w:r>
      <w:r w:rsidR="72CA7430" w:rsidRPr="006258E5">
        <w:rPr>
          <w:sz w:val="18"/>
          <w:szCs w:val="18"/>
          <w:lang w:val="ro-RO"/>
        </w:rPr>
        <w:t>”</w:t>
      </w:r>
    </w:p>
    <w:p w14:paraId="590E6E17" w14:textId="77777777" w:rsidR="005F54D8" w:rsidRPr="006258E5" w:rsidRDefault="005F54D8" w:rsidP="00C45DFB">
      <w:pPr>
        <w:ind w:firstLine="360"/>
        <w:jc w:val="both"/>
        <w:rPr>
          <w:sz w:val="18"/>
          <w:szCs w:val="18"/>
          <w:lang w:val="ro-RO"/>
        </w:rPr>
      </w:pPr>
    </w:p>
    <w:p w14:paraId="48260D00" w14:textId="5507F1CB" w:rsidR="00B7788A" w:rsidRPr="006258E5" w:rsidRDefault="6D0EB5A1" w:rsidP="00C45DFB">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436BBB1F"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25 lit</w:t>
      </w:r>
      <w:r w:rsidR="37FE7BF0" w:rsidRPr="006258E5">
        <w:rPr>
          <w:rFonts w:ascii="Times New Roman" w:hAnsi="Times New Roman" w:cs="Times New Roman"/>
          <w:b/>
          <w:bCs/>
          <w:sz w:val="18"/>
          <w:szCs w:val="18"/>
          <w:lang w:val="ro-RO"/>
        </w:rPr>
        <w:t>era</w:t>
      </w:r>
      <w:r w:rsidRPr="006258E5">
        <w:rPr>
          <w:rFonts w:ascii="Times New Roman" w:hAnsi="Times New Roman" w:cs="Times New Roman"/>
          <w:b/>
          <w:bCs/>
          <w:sz w:val="18"/>
          <w:szCs w:val="18"/>
          <w:lang w:val="ro-RO"/>
        </w:rPr>
        <w:t xml:space="preserve"> n) se abrog</w:t>
      </w:r>
      <w:r w:rsidR="72CA7430" w:rsidRPr="006258E5">
        <w:rPr>
          <w:rFonts w:ascii="Times New Roman" w:hAnsi="Times New Roman" w:cs="Times New Roman"/>
          <w:b/>
          <w:bCs/>
          <w:sz w:val="18"/>
          <w:szCs w:val="18"/>
          <w:lang w:val="ro-RO"/>
        </w:rPr>
        <w:t>ă</w:t>
      </w:r>
      <w:r w:rsidRPr="006258E5">
        <w:rPr>
          <w:rFonts w:ascii="Times New Roman" w:hAnsi="Times New Roman" w:cs="Times New Roman"/>
          <w:b/>
          <w:bCs/>
          <w:sz w:val="18"/>
          <w:szCs w:val="18"/>
          <w:lang w:val="ro-RO"/>
        </w:rPr>
        <w:t>.</w:t>
      </w:r>
    </w:p>
    <w:p w14:paraId="479D87B7" w14:textId="77777777" w:rsidR="0090728A" w:rsidRPr="006258E5" w:rsidRDefault="0090728A" w:rsidP="00C45DFB">
      <w:pPr>
        <w:pStyle w:val="ListParagraph"/>
        <w:spacing w:after="200" w:line="276" w:lineRule="auto"/>
        <w:jc w:val="both"/>
        <w:rPr>
          <w:rFonts w:ascii="Times New Roman" w:hAnsi="Times New Roman" w:cs="Times New Roman"/>
          <w:sz w:val="18"/>
          <w:szCs w:val="18"/>
          <w:lang w:val="ro-RO"/>
        </w:rPr>
      </w:pPr>
    </w:p>
    <w:p w14:paraId="76CDA51E" w14:textId="6A9BB2F9" w:rsidR="00B7788A" w:rsidRPr="006258E5" w:rsidRDefault="6D0EB5A1" w:rsidP="00C45DFB">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w:t>
      </w:r>
      <w:r w:rsidR="47EEC088" w:rsidRPr="006258E5">
        <w:rPr>
          <w:rFonts w:ascii="Times New Roman" w:hAnsi="Times New Roman" w:cs="Times New Roman"/>
          <w:b/>
          <w:bCs/>
          <w:sz w:val="18"/>
          <w:szCs w:val="18"/>
          <w:lang w:val="ro-RO"/>
        </w:rPr>
        <w:t>icolul</w:t>
      </w:r>
      <w:r w:rsidRPr="006258E5">
        <w:rPr>
          <w:rFonts w:ascii="Times New Roman" w:hAnsi="Times New Roman" w:cs="Times New Roman"/>
          <w:b/>
          <w:bCs/>
          <w:sz w:val="18"/>
          <w:szCs w:val="18"/>
          <w:lang w:val="ro-RO"/>
        </w:rPr>
        <w:t xml:space="preserve"> 3</w:t>
      </w:r>
      <w:r w:rsidR="0090613D" w:rsidRPr="006258E5">
        <w:rPr>
          <w:rFonts w:ascii="Times New Roman" w:hAnsi="Times New Roman" w:cs="Times New Roman"/>
          <w:b/>
          <w:bCs/>
          <w:sz w:val="18"/>
          <w:szCs w:val="18"/>
          <w:lang w:val="ro-RO"/>
        </w:rPr>
        <w:t>1</w:t>
      </w:r>
      <w:r w:rsidRPr="006258E5">
        <w:rPr>
          <w:rFonts w:ascii="Times New Roman" w:hAnsi="Times New Roman" w:cs="Times New Roman"/>
          <w:b/>
          <w:bCs/>
          <w:sz w:val="18"/>
          <w:szCs w:val="18"/>
          <w:lang w:val="ro-RO"/>
        </w:rPr>
        <w:t xml:space="preserve"> se modifică și va avea următorul cuprins:</w:t>
      </w:r>
    </w:p>
    <w:p w14:paraId="7FFE4F59" w14:textId="293342AE" w:rsidR="0090613D" w:rsidRPr="006258E5" w:rsidRDefault="0090613D" w:rsidP="0090613D">
      <w:pPr>
        <w:ind w:left="360"/>
        <w:rPr>
          <w:rFonts w:eastAsiaTheme="minorEastAsia"/>
          <w:sz w:val="18"/>
          <w:szCs w:val="18"/>
          <w:lang w:val="ro-RO"/>
        </w:rPr>
      </w:pPr>
      <w:r w:rsidRPr="006258E5">
        <w:rPr>
          <w:sz w:val="18"/>
          <w:szCs w:val="18"/>
          <w:lang w:val="ro-RO"/>
        </w:rPr>
        <w:t xml:space="preserve">„Art.33 - </w:t>
      </w:r>
      <w:r w:rsidRPr="006258E5">
        <w:rPr>
          <w:rFonts w:eastAsiaTheme="minorEastAsia"/>
          <w:sz w:val="18"/>
          <w:szCs w:val="18"/>
          <w:lang w:val="ro-RO"/>
        </w:rPr>
        <w:t>Începând cu data intrării în vigoare a prezentei legi, în cazul acordurilor petroliere offshore</w:t>
      </w:r>
      <w:r w:rsidRPr="006258E5">
        <w:rPr>
          <w:sz w:val="18"/>
          <w:szCs w:val="18"/>
          <w:lang w:val="ro-RO"/>
        </w:rPr>
        <w:t xml:space="preserve"> și </w:t>
      </w:r>
      <w:r w:rsidR="00FE6CBB" w:rsidRPr="006258E5">
        <w:rPr>
          <w:sz w:val="18"/>
          <w:szCs w:val="18"/>
          <w:lang w:val="ro-RO"/>
        </w:rPr>
        <w:t xml:space="preserve">și </w:t>
      </w:r>
      <w:r w:rsidR="00FE6CBB" w:rsidRPr="006258E5">
        <w:rPr>
          <w:spacing w:val="-2"/>
          <w:sz w:val="18"/>
          <w:szCs w:val="18"/>
          <w:lang w:val="ro-RO"/>
        </w:rPr>
        <w:t>onshore de adâncime,</w:t>
      </w:r>
      <w:r w:rsidRPr="006258E5">
        <w:rPr>
          <w:rFonts w:eastAsiaTheme="minorEastAsia"/>
          <w:sz w:val="18"/>
          <w:szCs w:val="18"/>
          <w:lang w:val="ro-RO"/>
        </w:rPr>
        <w:t xml:space="preserve"> nu se aplică prevederile Ordonanţei Guvernului nr. </w:t>
      </w:r>
      <w:hyperlink r:id="rId11" w:anchor="/dokument/16930997?cm=DOCUMENT" w:tgtFrame="_blank" w:history="1">
        <w:r w:rsidRPr="006258E5">
          <w:rPr>
            <w:rFonts w:eastAsiaTheme="minorEastAsia"/>
            <w:sz w:val="18"/>
            <w:szCs w:val="18"/>
            <w:lang w:val="ro-RO"/>
          </w:rPr>
          <w:t>7/2013</w:t>
        </w:r>
      </w:hyperlink>
      <w:r w:rsidRPr="006258E5">
        <w:rPr>
          <w:rFonts w:eastAsiaTheme="minorEastAsia"/>
          <w:sz w:val="18"/>
          <w:szCs w:val="18"/>
          <w:lang w:val="ro-RO"/>
        </w:rPr>
        <w:t xml:space="preserve"> privind instituirea impozitului asupra veniturilor suplimentare obţinute ca urmare a dereglementării preţurilor din sectorul gazelor naturale, aprobată cu modificări prin Legea nr. </w:t>
      </w:r>
      <w:hyperlink r:id="rId12" w:anchor="/dokument/16969817?cm=DOCUMENT" w:tgtFrame="_blank" w:history="1">
        <w:r w:rsidRPr="006258E5">
          <w:rPr>
            <w:rFonts w:eastAsiaTheme="minorEastAsia"/>
            <w:sz w:val="18"/>
            <w:szCs w:val="18"/>
            <w:lang w:val="ro-RO"/>
          </w:rPr>
          <w:t>73/2018</w:t>
        </w:r>
      </w:hyperlink>
      <w:r w:rsidRPr="006258E5">
        <w:rPr>
          <w:rFonts w:eastAsiaTheme="minorEastAsia"/>
          <w:sz w:val="18"/>
          <w:szCs w:val="18"/>
          <w:lang w:val="ro-RO"/>
        </w:rPr>
        <w:t xml:space="preserve">, cu modificările şi completările ulterioare, şi ale Ordonanţei Guvernului nr. </w:t>
      </w:r>
      <w:hyperlink r:id="rId13" w:anchor="/dokument/16930980?cm=DOCUMENT" w:tgtFrame="_blank" w:history="1">
        <w:r w:rsidRPr="006258E5">
          <w:rPr>
            <w:rFonts w:eastAsiaTheme="minorEastAsia"/>
            <w:sz w:val="18"/>
            <w:szCs w:val="18"/>
            <w:lang w:val="ro-RO"/>
          </w:rPr>
          <w:t>6/2013</w:t>
        </w:r>
      </w:hyperlink>
      <w:r w:rsidRPr="006258E5">
        <w:rPr>
          <w:rFonts w:eastAsiaTheme="minorEastAsia"/>
          <w:sz w:val="18"/>
          <w:szCs w:val="18"/>
          <w:lang w:val="ro-RO"/>
        </w:rPr>
        <w:t xml:space="preserve"> privind instituirea unor măsuri speciale pentru impozitarea exploatării resurselor naturale, altele decât gazele naturale, aprobată cu modificări şi completări prin Legea nr. </w:t>
      </w:r>
      <w:hyperlink r:id="rId14" w:anchor="/dokument/16935902?cm=DOCUMENT" w:tgtFrame="_blank" w:history="1">
        <w:r w:rsidRPr="006258E5">
          <w:rPr>
            <w:rFonts w:eastAsiaTheme="minorEastAsia"/>
            <w:sz w:val="18"/>
            <w:szCs w:val="18"/>
            <w:lang w:val="ro-RO"/>
          </w:rPr>
          <w:t>261/2013</w:t>
        </w:r>
      </w:hyperlink>
      <w:r w:rsidRPr="006258E5">
        <w:rPr>
          <w:rFonts w:eastAsiaTheme="minorEastAsia"/>
          <w:sz w:val="18"/>
          <w:szCs w:val="18"/>
          <w:lang w:val="ro-RO"/>
        </w:rPr>
        <w:t>, cu modificările ulterioare</w:t>
      </w:r>
      <w:r w:rsidRPr="006258E5">
        <w:rPr>
          <w:sz w:val="18"/>
          <w:szCs w:val="18"/>
          <w:lang w:val="ro-RO"/>
        </w:rPr>
        <w:t>„</w:t>
      </w:r>
    </w:p>
    <w:p w14:paraId="26A12324" w14:textId="77777777" w:rsidR="00F8238C" w:rsidRPr="006258E5" w:rsidRDefault="00F8238C" w:rsidP="00F8238C">
      <w:pPr>
        <w:pStyle w:val="ListParagraph"/>
        <w:rPr>
          <w:rFonts w:ascii="Times New Roman" w:hAnsi="Times New Roman" w:cs="Times New Roman"/>
          <w:b/>
          <w:bCs/>
          <w:sz w:val="18"/>
          <w:szCs w:val="18"/>
          <w:lang w:val="ro-RO"/>
        </w:rPr>
      </w:pPr>
    </w:p>
    <w:p w14:paraId="16CF37EC" w14:textId="1139EB42" w:rsidR="00F8238C" w:rsidRPr="006258E5" w:rsidRDefault="0090613D" w:rsidP="0090613D">
      <w:pPr>
        <w:pStyle w:val="ListParagraph"/>
        <w:numPr>
          <w:ilvl w:val="0"/>
          <w:numId w:val="17"/>
        </w:numPr>
        <w:spacing w:after="200" w:line="276" w:lineRule="auto"/>
        <w:jc w:val="both"/>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Articolul 34 se modifică și va avea următorul cuprins:</w:t>
      </w:r>
    </w:p>
    <w:p w14:paraId="4A447439" w14:textId="74E5AC21" w:rsidR="00B7788A" w:rsidRPr="006258E5" w:rsidRDefault="6561E630" w:rsidP="00C45DFB">
      <w:pPr>
        <w:ind w:left="360"/>
        <w:jc w:val="both"/>
        <w:rPr>
          <w:sz w:val="18"/>
          <w:szCs w:val="18"/>
          <w:lang w:val="ro-RO"/>
        </w:rPr>
      </w:pPr>
      <w:r w:rsidRPr="006258E5">
        <w:rPr>
          <w:sz w:val="18"/>
          <w:szCs w:val="18"/>
          <w:lang w:val="ro-RO"/>
        </w:rPr>
        <w:t>„</w:t>
      </w:r>
      <w:r w:rsidR="6D0EB5A1" w:rsidRPr="006258E5">
        <w:rPr>
          <w:sz w:val="18"/>
          <w:szCs w:val="18"/>
          <w:lang w:val="ro-RO"/>
        </w:rPr>
        <w:t>Art. 34</w:t>
      </w:r>
      <w:r w:rsidR="52FE97D3" w:rsidRPr="006258E5">
        <w:rPr>
          <w:sz w:val="18"/>
          <w:szCs w:val="18"/>
          <w:lang w:val="ro-RO"/>
        </w:rPr>
        <w:t xml:space="preserve"> -</w:t>
      </w:r>
      <w:r w:rsidR="6D0EB5A1" w:rsidRPr="006258E5">
        <w:rPr>
          <w:sz w:val="18"/>
          <w:szCs w:val="18"/>
          <w:lang w:val="ro-RO"/>
        </w:rPr>
        <w:t xml:space="preserve">  Agenţia Naţională pentru Resurse Minerale şi titularii de acorduri petroliere pot încheia acte adiţionale la acordurile petroliere referitoare la perimetre petroliere</w:t>
      </w:r>
      <w:r w:rsidR="00EF7AF6" w:rsidRPr="006258E5">
        <w:rPr>
          <w:sz w:val="18"/>
          <w:szCs w:val="18"/>
          <w:lang w:val="ro-RO"/>
        </w:rPr>
        <w:t xml:space="preserve"> reglementate de prezentata lege,</w:t>
      </w:r>
      <w:r w:rsidR="6D0EB5A1" w:rsidRPr="006258E5">
        <w:rPr>
          <w:sz w:val="18"/>
          <w:szCs w:val="18"/>
          <w:lang w:val="ro-RO"/>
        </w:rPr>
        <w:t xml:space="preserve"> aflate în curs de executare la data de 1 ianuarie 2022, pentru a reflecta la nivel contractual prevederile art. 18, 19, 20 și 21.</w:t>
      </w:r>
      <w:r w:rsidRPr="006258E5">
        <w:rPr>
          <w:sz w:val="18"/>
          <w:szCs w:val="18"/>
          <w:lang w:val="ro-RO"/>
        </w:rPr>
        <w:t>”</w:t>
      </w:r>
    </w:p>
    <w:p w14:paraId="5254E223" w14:textId="1D743182" w:rsidR="007A7619" w:rsidRPr="006258E5" w:rsidRDefault="007A7619" w:rsidP="00B7788A">
      <w:pPr>
        <w:rPr>
          <w:b/>
          <w:bCs/>
          <w:sz w:val="18"/>
          <w:szCs w:val="18"/>
          <w:lang w:val="ro-RO"/>
        </w:rPr>
      </w:pPr>
    </w:p>
    <w:p w14:paraId="0D9C0512" w14:textId="357B49E6" w:rsidR="007A7619" w:rsidRPr="006258E5" w:rsidRDefault="007A7619" w:rsidP="00B7788A">
      <w:pPr>
        <w:rPr>
          <w:b/>
          <w:bCs/>
          <w:sz w:val="18"/>
          <w:szCs w:val="18"/>
          <w:lang w:val="ro-RO"/>
        </w:rPr>
      </w:pPr>
    </w:p>
    <w:p w14:paraId="55CEC589" w14:textId="77777777" w:rsidR="007A7619" w:rsidRPr="006258E5" w:rsidRDefault="007A7619" w:rsidP="00B7788A">
      <w:pPr>
        <w:rPr>
          <w:b/>
          <w:bCs/>
          <w:sz w:val="18"/>
          <w:szCs w:val="18"/>
          <w:lang w:val="ro-RO"/>
        </w:rPr>
      </w:pPr>
    </w:p>
    <w:p w14:paraId="02E04305" w14:textId="77777777" w:rsidR="00B7788A" w:rsidRPr="006258E5" w:rsidRDefault="6D0EB5A1" w:rsidP="00B7788A">
      <w:pPr>
        <w:pStyle w:val="ListParagraph"/>
        <w:numPr>
          <w:ilvl w:val="0"/>
          <w:numId w:val="17"/>
        </w:numPr>
        <w:spacing w:after="200" w:line="276" w:lineRule="auto"/>
        <w:rPr>
          <w:rFonts w:ascii="Times New Roman" w:hAnsi="Times New Roman" w:cs="Times New Roman"/>
          <w:b/>
          <w:bCs/>
          <w:sz w:val="18"/>
          <w:szCs w:val="18"/>
          <w:lang w:val="ro-RO"/>
        </w:rPr>
      </w:pPr>
      <w:r w:rsidRPr="006258E5">
        <w:rPr>
          <w:rFonts w:ascii="Times New Roman" w:hAnsi="Times New Roman" w:cs="Times New Roman"/>
          <w:b/>
          <w:bCs/>
          <w:sz w:val="18"/>
          <w:szCs w:val="18"/>
          <w:lang w:val="ro-RO"/>
        </w:rPr>
        <w:t>ANEXA nr. 2 se modifică și va avea următorul cuprins:</w:t>
      </w:r>
    </w:p>
    <w:p w14:paraId="7077CB0A" w14:textId="6B239F5D" w:rsidR="00B7788A" w:rsidRPr="006258E5" w:rsidRDefault="6D0EB5A1" w:rsidP="00C45DFB">
      <w:pPr>
        <w:jc w:val="both"/>
        <w:rPr>
          <w:b/>
          <w:bCs/>
          <w:sz w:val="18"/>
          <w:szCs w:val="18"/>
          <w:lang w:val="ro-RO"/>
        </w:rPr>
      </w:pPr>
      <w:r w:rsidRPr="006258E5">
        <w:rPr>
          <w:b/>
          <w:bCs/>
          <w:sz w:val="18"/>
          <w:szCs w:val="18"/>
          <w:lang w:val="ro-RO"/>
        </w:rPr>
        <w:t xml:space="preserve">ANEXA nr. 2 -  Formula de calcul pentru impozitul asupra veniturilor suplimentare </w:t>
      </w:r>
    </w:p>
    <w:p w14:paraId="3EB52FA1" w14:textId="4BFEB3B9" w:rsidR="00B7788A" w:rsidRPr="006258E5" w:rsidRDefault="6D0EB5A1" w:rsidP="00C45DFB">
      <w:pPr>
        <w:jc w:val="both"/>
        <w:rPr>
          <w:sz w:val="18"/>
          <w:szCs w:val="18"/>
          <w:lang w:val="ro-RO"/>
        </w:rPr>
      </w:pPr>
      <w:r w:rsidRPr="006258E5">
        <w:rPr>
          <w:sz w:val="18"/>
          <w:szCs w:val="18"/>
          <w:lang w:val="ro-RO"/>
        </w:rPr>
        <w:t xml:space="preserve">În funcţie de nivelul preţului mediu ponderat al gazelor naturale vândute din producţia internă proprie din perimetrele </w:t>
      </w:r>
      <w:r w:rsidR="00345B1A" w:rsidRPr="006258E5">
        <w:rPr>
          <w:sz w:val="18"/>
          <w:szCs w:val="18"/>
          <w:lang w:val="ro-RO"/>
        </w:rPr>
        <w:t>reglementate de prezenta lege,</w:t>
      </w:r>
      <w:r w:rsidRPr="006258E5">
        <w:rPr>
          <w:sz w:val="18"/>
          <w:szCs w:val="18"/>
          <w:lang w:val="ro-RO"/>
        </w:rPr>
        <w:t xml:space="preserve"> denumit în continuare PMPC, se aplică următoarele formule de calcul:</w:t>
      </w:r>
    </w:p>
    <w:p w14:paraId="746E352E" w14:textId="0582E972" w:rsidR="00EA3BF6" w:rsidRPr="006258E5" w:rsidRDefault="00EA3BF6" w:rsidP="00EA3BF6">
      <w:pPr>
        <w:jc w:val="both"/>
        <w:rPr>
          <w:color w:val="000000" w:themeColor="text1"/>
          <w:sz w:val="18"/>
          <w:szCs w:val="18"/>
          <w:lang w:val="ro-RO"/>
        </w:rPr>
      </w:pPr>
      <w:r w:rsidRPr="006258E5">
        <w:rPr>
          <w:color w:val="000000" w:themeColor="text1"/>
          <w:sz w:val="18"/>
          <w:szCs w:val="18"/>
          <w:lang w:val="ro-RO"/>
        </w:rPr>
        <w:t>1.În cazul în care PMPC este între 85 lei/MWh şi 100 lei/MWh inclusiv, ajustate cu IPC,  impozitul asupra veniturilor suplimentare  total datorat se calculează astfel:</w:t>
      </w:r>
    </w:p>
    <w:p w14:paraId="42FB2CCF" w14:textId="51AF83CD" w:rsidR="00EA3BF6" w:rsidRPr="006258E5" w:rsidRDefault="00EA3BF6" w:rsidP="00EA3BF6">
      <w:pPr>
        <w:jc w:val="both"/>
        <w:rPr>
          <w:color w:val="000000" w:themeColor="text1"/>
          <w:sz w:val="18"/>
          <w:szCs w:val="18"/>
          <w:lang w:val="ro-RO"/>
        </w:rPr>
      </w:pPr>
      <w:r w:rsidRPr="006258E5">
        <w:rPr>
          <w:color w:val="000000" w:themeColor="text1"/>
          <w:sz w:val="18"/>
          <w:szCs w:val="18"/>
          <w:lang w:val="ro-RO"/>
        </w:rPr>
        <w:t>IVST = ISO</w:t>
      </w:r>
      <w:r w:rsidR="009F5AF6">
        <w:rPr>
          <w:color w:val="000000" w:themeColor="text1"/>
          <w:sz w:val="18"/>
          <w:szCs w:val="18"/>
          <w:lang w:val="ro-RO"/>
        </w:rPr>
        <w:t xml:space="preserve"> </w:t>
      </w:r>
      <w:r w:rsidRPr="006258E5">
        <w:rPr>
          <w:color w:val="000000" w:themeColor="text1"/>
          <w:sz w:val="18"/>
          <w:szCs w:val="18"/>
          <w:lang w:val="ro-RO"/>
        </w:rPr>
        <w:t>- VID</w:t>
      </w:r>
    </w:p>
    <w:p w14:paraId="38F2DEC9" w14:textId="77777777" w:rsidR="00EA3BF6" w:rsidRPr="006258E5" w:rsidRDefault="00EA3BF6" w:rsidP="00EA3BF6">
      <w:pPr>
        <w:jc w:val="both"/>
        <w:rPr>
          <w:color w:val="000000" w:themeColor="text1"/>
          <w:sz w:val="18"/>
          <w:szCs w:val="18"/>
          <w:lang w:val="ro-RO"/>
        </w:rPr>
      </w:pPr>
      <w:r w:rsidRPr="006258E5">
        <w:rPr>
          <w:color w:val="000000" w:themeColor="text1"/>
          <w:sz w:val="18"/>
          <w:szCs w:val="18"/>
          <w:lang w:val="ro-RO"/>
        </w:rPr>
        <w:t>ISO = CI * VS</w:t>
      </w:r>
    </w:p>
    <w:p w14:paraId="585999D6" w14:textId="77777777" w:rsidR="00EA3BF6" w:rsidRPr="006258E5" w:rsidRDefault="00EA3BF6" w:rsidP="00EA3BF6">
      <w:pPr>
        <w:rPr>
          <w:color w:val="000000" w:themeColor="text1"/>
          <w:sz w:val="18"/>
          <w:szCs w:val="18"/>
          <w:lang w:val="ro-RO"/>
        </w:rPr>
      </w:pPr>
      <w:r w:rsidRPr="006258E5">
        <w:rPr>
          <w:color w:val="000000" w:themeColor="text1"/>
          <w:sz w:val="18"/>
          <w:szCs w:val="18"/>
          <w:lang w:val="ro-RO"/>
        </w:rPr>
        <w:t>VS = (PMPC - PB) * VGC</w:t>
      </w:r>
    </w:p>
    <w:p w14:paraId="006F9843" w14:textId="77777777" w:rsidR="00EA3BF6" w:rsidRPr="006258E5" w:rsidRDefault="00EA3BF6" w:rsidP="00EA3BF6">
      <w:pPr>
        <w:rPr>
          <w:color w:val="000000" w:themeColor="text1"/>
          <w:sz w:val="18"/>
          <w:szCs w:val="18"/>
          <w:lang w:val="ro-RO"/>
        </w:rPr>
      </w:pPr>
      <w:r w:rsidRPr="006258E5">
        <w:rPr>
          <w:color w:val="000000" w:themeColor="text1"/>
          <w:sz w:val="18"/>
          <w:szCs w:val="18"/>
          <w:lang w:val="ro-RO"/>
        </w:rPr>
        <w:t>VID = min (VI, 0,4 * ISO)</w:t>
      </w:r>
    </w:p>
    <w:p w14:paraId="5430FCEF" w14:textId="489A86B8" w:rsidR="00EA3BF6" w:rsidRPr="006258E5" w:rsidRDefault="00EA3BF6" w:rsidP="00EA3BF6">
      <w:pPr>
        <w:rPr>
          <w:color w:val="000000" w:themeColor="text1"/>
          <w:sz w:val="18"/>
          <w:szCs w:val="18"/>
          <w:lang w:val="ro-RO"/>
        </w:rPr>
      </w:pPr>
      <w:r w:rsidRPr="006258E5">
        <w:rPr>
          <w:color w:val="000000" w:themeColor="text1"/>
          <w:sz w:val="18"/>
          <w:szCs w:val="18"/>
          <w:lang w:val="ro-RO"/>
        </w:rPr>
        <w:t>IVST – impozitul asupra veniturilor suplimentare  total datorat;</w:t>
      </w:r>
    </w:p>
    <w:p w14:paraId="7664384F" w14:textId="62C68E12" w:rsidR="00EA3BF6" w:rsidRPr="006258E5" w:rsidRDefault="00EA3BF6" w:rsidP="00EA3BF6">
      <w:pPr>
        <w:rPr>
          <w:color w:val="000000" w:themeColor="text1"/>
          <w:sz w:val="18"/>
          <w:szCs w:val="18"/>
          <w:lang w:val="ro-RO"/>
        </w:rPr>
      </w:pPr>
      <w:r w:rsidRPr="006258E5">
        <w:rPr>
          <w:color w:val="000000" w:themeColor="text1"/>
          <w:sz w:val="18"/>
          <w:szCs w:val="18"/>
          <w:lang w:val="ro-RO"/>
        </w:rPr>
        <w:t xml:space="preserve">ISO – impozitul suplimentar calculat la veniturile suplimentare din vânzarea gazelor naturale din producția proprie </w:t>
      </w:r>
      <w:r w:rsidR="00F43664">
        <w:rPr>
          <w:color w:val="000000" w:themeColor="text1"/>
          <w:sz w:val="18"/>
          <w:szCs w:val="18"/>
          <w:lang w:val="ro-RO"/>
        </w:rPr>
        <w:t>d</w:t>
      </w:r>
      <w:r w:rsidR="009F5AF6">
        <w:rPr>
          <w:color w:val="000000" w:themeColor="text1"/>
          <w:sz w:val="18"/>
          <w:szCs w:val="18"/>
          <w:lang w:val="ro-RO"/>
        </w:rPr>
        <w:t>in</w:t>
      </w:r>
      <w:r w:rsidR="009F5AF6" w:rsidRPr="006258E5">
        <w:rPr>
          <w:color w:val="000000" w:themeColor="text1"/>
          <w:sz w:val="18"/>
          <w:szCs w:val="18"/>
          <w:lang w:val="ro-RO"/>
        </w:rPr>
        <w:t xml:space="preserve"> perimetrele reglementate de prezenta lege</w:t>
      </w:r>
      <w:r w:rsidR="009F5AF6">
        <w:rPr>
          <w:color w:val="000000" w:themeColor="text1"/>
          <w:sz w:val="18"/>
          <w:szCs w:val="18"/>
          <w:lang w:val="ro-RO"/>
        </w:rPr>
        <w:t>,</w:t>
      </w:r>
      <w:r w:rsidR="009F5AF6" w:rsidRPr="006258E5">
        <w:rPr>
          <w:color w:val="000000" w:themeColor="text1"/>
          <w:sz w:val="18"/>
          <w:szCs w:val="18"/>
          <w:lang w:val="ro-RO"/>
        </w:rPr>
        <w:t xml:space="preserve"> </w:t>
      </w:r>
      <w:r w:rsidRPr="006258E5">
        <w:rPr>
          <w:color w:val="000000" w:themeColor="text1"/>
          <w:sz w:val="18"/>
          <w:szCs w:val="18"/>
          <w:lang w:val="ro-RO"/>
        </w:rPr>
        <w:t>în urma practicării unor preţuri PMPC între 85 lei/MWh şi 100 lei/MWh inclusiv, ajustate cu IPC, după caz;</w:t>
      </w:r>
    </w:p>
    <w:p w14:paraId="7DD1320C" w14:textId="13B11685" w:rsidR="00EA3BF6" w:rsidRPr="006258E5" w:rsidRDefault="00EA3BF6" w:rsidP="00EA3BF6">
      <w:pPr>
        <w:rPr>
          <w:color w:val="000000" w:themeColor="text1"/>
          <w:sz w:val="18"/>
          <w:szCs w:val="18"/>
          <w:lang w:val="ro-RO"/>
        </w:rPr>
      </w:pPr>
      <w:r w:rsidRPr="006258E5">
        <w:rPr>
          <w:color w:val="000000" w:themeColor="text1"/>
          <w:sz w:val="18"/>
          <w:szCs w:val="18"/>
          <w:lang w:val="ro-RO"/>
        </w:rPr>
        <w:t>CI – cota de impozitare a veniturilor suplimentare din vânzarea gazelor naturale [15% - conform art. 19 alin.(3) lit. (a)], aplicabilă în urma practicării unor preţuri PMPC între 85 lei/MWh şi 100 lei/MWh inclusiv, ajustate anual cu rata IPC incepand cu 1 ianuarie 202</w:t>
      </w:r>
      <w:r w:rsidR="003D34C5">
        <w:rPr>
          <w:color w:val="000000" w:themeColor="text1"/>
          <w:sz w:val="18"/>
          <w:szCs w:val="18"/>
          <w:lang w:val="ro-RO"/>
        </w:rPr>
        <w:t>3</w:t>
      </w:r>
      <w:r w:rsidRPr="006258E5">
        <w:rPr>
          <w:color w:val="000000" w:themeColor="text1"/>
          <w:sz w:val="18"/>
          <w:szCs w:val="18"/>
          <w:lang w:val="ro-RO"/>
        </w:rPr>
        <w:t>;</w:t>
      </w:r>
    </w:p>
    <w:p w14:paraId="5D79E03B" w14:textId="747BED6F" w:rsidR="00EA3BF6" w:rsidRPr="006258E5" w:rsidRDefault="00EA3BF6" w:rsidP="00EA3BF6">
      <w:pPr>
        <w:rPr>
          <w:color w:val="000000" w:themeColor="text1"/>
          <w:sz w:val="18"/>
          <w:szCs w:val="18"/>
          <w:lang w:val="ro-RO"/>
        </w:rPr>
      </w:pPr>
      <w:r w:rsidRPr="006258E5">
        <w:rPr>
          <w:color w:val="000000" w:themeColor="text1"/>
          <w:sz w:val="18"/>
          <w:szCs w:val="18"/>
          <w:lang w:val="ro-RO"/>
        </w:rPr>
        <w:t xml:space="preserve">VS – venitul suplimentar din perimetrele </w:t>
      </w:r>
      <w:r w:rsidR="00345B1A" w:rsidRPr="006258E5">
        <w:rPr>
          <w:color w:val="000000" w:themeColor="text1"/>
          <w:sz w:val="18"/>
          <w:szCs w:val="18"/>
          <w:lang w:val="ro-RO"/>
        </w:rPr>
        <w:t xml:space="preserve">reglementate de prezenta lege </w:t>
      </w:r>
      <w:r w:rsidRPr="006258E5">
        <w:rPr>
          <w:color w:val="000000" w:themeColor="text1"/>
          <w:sz w:val="18"/>
          <w:szCs w:val="18"/>
          <w:lang w:val="ro-RO"/>
        </w:rPr>
        <w:t>, calculat din vânzarea gazelor naturale din producția proprie</w:t>
      </w:r>
      <w:r w:rsidR="00345B1A" w:rsidRPr="006258E5">
        <w:rPr>
          <w:color w:val="000000" w:themeColor="text1"/>
          <w:sz w:val="18"/>
          <w:szCs w:val="18"/>
          <w:lang w:val="ro-RO"/>
        </w:rPr>
        <w:t xml:space="preserve">, </w:t>
      </w:r>
      <w:r w:rsidRPr="006258E5">
        <w:rPr>
          <w:color w:val="000000" w:themeColor="text1"/>
          <w:sz w:val="18"/>
          <w:szCs w:val="18"/>
          <w:lang w:val="ro-RO"/>
        </w:rPr>
        <w:t>cu preţuri PMPC între 85 lei/MWh şi 100 lei/MWh inclusiv;</w:t>
      </w:r>
    </w:p>
    <w:p w14:paraId="279C2A9A" w14:textId="2107A16B" w:rsidR="00EA3BF6" w:rsidRPr="006258E5" w:rsidRDefault="00EA3BF6" w:rsidP="00EA3BF6">
      <w:pPr>
        <w:rPr>
          <w:color w:val="000000" w:themeColor="text1"/>
          <w:sz w:val="18"/>
          <w:szCs w:val="18"/>
          <w:lang w:val="ro-RO"/>
        </w:rPr>
      </w:pPr>
      <w:r w:rsidRPr="006258E5">
        <w:rPr>
          <w:color w:val="000000" w:themeColor="text1"/>
          <w:sz w:val="18"/>
          <w:szCs w:val="18"/>
          <w:lang w:val="ro-RO"/>
        </w:rPr>
        <w:lastRenderedPageBreak/>
        <w:t xml:space="preserve">PMPC – preţul mediu ponderat al gazelor naturale vândute din producţia internă proprie din perimetrele </w:t>
      </w:r>
      <w:r w:rsidR="00345B1A" w:rsidRPr="006258E5">
        <w:rPr>
          <w:color w:val="000000" w:themeColor="text1"/>
          <w:sz w:val="18"/>
          <w:szCs w:val="18"/>
          <w:lang w:val="ro-RO"/>
        </w:rPr>
        <w:t>reglementate de prezenta lege</w:t>
      </w:r>
      <w:r w:rsidRPr="006258E5">
        <w:rPr>
          <w:color w:val="000000" w:themeColor="text1"/>
          <w:sz w:val="18"/>
          <w:szCs w:val="18"/>
          <w:lang w:val="ro-RO"/>
        </w:rPr>
        <w:t>, din care se deduc costurile de transport, distributie, înmagazinare și alte costuri logistice in masura in care sunt suportate de catre titularul acordului petrolier;</w:t>
      </w:r>
    </w:p>
    <w:p w14:paraId="2D1B1064" w14:textId="7CF737CA" w:rsidR="00EA3BF6" w:rsidRPr="006258E5" w:rsidRDefault="00EA3BF6" w:rsidP="00EA3BF6">
      <w:pPr>
        <w:rPr>
          <w:color w:val="000000" w:themeColor="text1"/>
          <w:sz w:val="18"/>
          <w:szCs w:val="18"/>
          <w:lang w:val="ro-RO"/>
        </w:rPr>
      </w:pPr>
      <w:r w:rsidRPr="006258E5">
        <w:rPr>
          <w:color w:val="000000" w:themeColor="text1"/>
          <w:sz w:val="18"/>
          <w:szCs w:val="18"/>
          <w:lang w:val="ro-RO"/>
        </w:rPr>
        <w:t>PB – preţ de bază minim al intervalului de calcul corespunzător respectiv, pentru preţuri PMPC între 85 lei/MWh şi 100 lei/MWh inclusiv este 85 lei/MWh, ajustat anual cu rata IPC începând cu 1 ianuarie 202</w:t>
      </w:r>
      <w:r w:rsidR="007A7619" w:rsidRPr="006258E5">
        <w:rPr>
          <w:color w:val="000000" w:themeColor="text1"/>
          <w:sz w:val="18"/>
          <w:szCs w:val="18"/>
          <w:lang w:val="ro-RO"/>
        </w:rPr>
        <w:t>3</w:t>
      </w:r>
      <w:r w:rsidRPr="006258E5">
        <w:rPr>
          <w:color w:val="000000" w:themeColor="text1"/>
          <w:sz w:val="18"/>
          <w:szCs w:val="18"/>
          <w:lang w:val="ro-RO"/>
        </w:rPr>
        <w:t>;</w:t>
      </w:r>
    </w:p>
    <w:p w14:paraId="025099E2" w14:textId="7FAFBCCF" w:rsidR="00EA3BF6" w:rsidRPr="006258E5" w:rsidRDefault="00EA3BF6" w:rsidP="00EA3BF6">
      <w:pPr>
        <w:rPr>
          <w:color w:val="000000" w:themeColor="text1"/>
          <w:sz w:val="18"/>
          <w:szCs w:val="18"/>
          <w:lang w:val="ro-RO"/>
        </w:rPr>
      </w:pPr>
      <w:r w:rsidRPr="006258E5">
        <w:rPr>
          <w:color w:val="000000" w:themeColor="text1"/>
          <w:sz w:val="18"/>
          <w:szCs w:val="18"/>
          <w:lang w:val="ro-RO"/>
        </w:rPr>
        <w:t xml:space="preserve">VGC – volumele de gaze </w:t>
      </w:r>
      <w:r w:rsidR="003D34C5" w:rsidRPr="006258E5">
        <w:rPr>
          <w:color w:val="000000" w:themeColor="text1"/>
          <w:sz w:val="18"/>
          <w:szCs w:val="18"/>
          <w:lang w:val="ro-RO"/>
        </w:rPr>
        <w:t>vândute</w:t>
      </w:r>
      <w:r w:rsidR="00345B1A" w:rsidRPr="006258E5">
        <w:rPr>
          <w:color w:val="000000" w:themeColor="text1"/>
          <w:sz w:val="18"/>
          <w:szCs w:val="18"/>
          <w:lang w:val="ro-RO"/>
        </w:rPr>
        <w:t xml:space="preserve"> </w:t>
      </w:r>
      <w:r w:rsidRPr="006258E5">
        <w:rPr>
          <w:color w:val="000000" w:themeColor="text1"/>
          <w:sz w:val="18"/>
          <w:szCs w:val="18"/>
          <w:lang w:val="ro-RO"/>
        </w:rPr>
        <w:t xml:space="preserve">din </w:t>
      </w:r>
      <w:r w:rsidR="003D34C5" w:rsidRPr="006258E5">
        <w:rPr>
          <w:color w:val="000000" w:themeColor="text1"/>
          <w:sz w:val="18"/>
          <w:szCs w:val="18"/>
          <w:lang w:val="ro-RO"/>
        </w:rPr>
        <w:t>producția</w:t>
      </w:r>
      <w:r w:rsidRPr="006258E5">
        <w:rPr>
          <w:color w:val="000000" w:themeColor="text1"/>
          <w:sz w:val="18"/>
          <w:szCs w:val="18"/>
          <w:lang w:val="ro-RO"/>
        </w:rPr>
        <w:t xml:space="preserve"> internă proprie </w:t>
      </w:r>
      <w:r w:rsidR="00345B1A" w:rsidRPr="006258E5">
        <w:rPr>
          <w:color w:val="000000" w:themeColor="text1"/>
          <w:sz w:val="18"/>
          <w:szCs w:val="18"/>
          <w:lang w:val="ro-RO"/>
        </w:rPr>
        <w:t xml:space="preserve"> </w:t>
      </w:r>
      <w:r w:rsidRPr="006258E5">
        <w:rPr>
          <w:color w:val="000000" w:themeColor="text1"/>
          <w:sz w:val="18"/>
          <w:szCs w:val="18"/>
          <w:lang w:val="ro-RO"/>
        </w:rPr>
        <w:t>din perimetrele</w:t>
      </w:r>
      <w:r w:rsidR="00345B1A" w:rsidRPr="006258E5">
        <w:rPr>
          <w:color w:val="000000" w:themeColor="text1"/>
          <w:sz w:val="18"/>
          <w:szCs w:val="18"/>
          <w:lang w:val="ro-RO"/>
        </w:rPr>
        <w:t xml:space="preserve"> </w:t>
      </w:r>
      <w:r w:rsidR="003D34C5" w:rsidRPr="006258E5">
        <w:rPr>
          <w:color w:val="000000" w:themeColor="text1"/>
          <w:sz w:val="18"/>
          <w:szCs w:val="18"/>
          <w:lang w:val="ro-RO"/>
        </w:rPr>
        <w:t>reglementate</w:t>
      </w:r>
      <w:r w:rsidR="00345B1A" w:rsidRPr="006258E5">
        <w:rPr>
          <w:color w:val="000000" w:themeColor="text1"/>
          <w:sz w:val="18"/>
          <w:szCs w:val="18"/>
          <w:lang w:val="ro-RO"/>
        </w:rPr>
        <w:t xml:space="preserve"> de prezenta lege</w:t>
      </w:r>
      <w:r w:rsidRPr="006258E5">
        <w:rPr>
          <w:color w:val="000000" w:themeColor="text1"/>
          <w:sz w:val="18"/>
          <w:szCs w:val="18"/>
          <w:lang w:val="ro-RO"/>
        </w:rPr>
        <w:t>;</w:t>
      </w:r>
    </w:p>
    <w:p w14:paraId="692C2680" w14:textId="77777777" w:rsidR="00EA3BF6" w:rsidRPr="006258E5" w:rsidRDefault="00EA3BF6" w:rsidP="00EA3BF6">
      <w:pPr>
        <w:rPr>
          <w:color w:val="000000" w:themeColor="text1"/>
          <w:sz w:val="18"/>
          <w:szCs w:val="18"/>
          <w:lang w:val="ro-RO"/>
        </w:rPr>
      </w:pPr>
      <w:r w:rsidRPr="006258E5">
        <w:rPr>
          <w:color w:val="000000" w:themeColor="text1"/>
          <w:sz w:val="18"/>
          <w:szCs w:val="18"/>
          <w:lang w:val="ro-RO"/>
        </w:rPr>
        <w:t>IPC – indicele anual al preţurilor de consum din anul precedent publicat de Institutul Naţional de Statistică din Romania;</w:t>
      </w:r>
    </w:p>
    <w:p w14:paraId="5DCDED91" w14:textId="77777777" w:rsidR="00EA3BF6" w:rsidRPr="006258E5" w:rsidRDefault="00EA3BF6" w:rsidP="00EA3BF6">
      <w:pPr>
        <w:rPr>
          <w:color w:val="000000" w:themeColor="text1"/>
          <w:sz w:val="18"/>
          <w:szCs w:val="18"/>
          <w:lang w:val="ro-RO"/>
        </w:rPr>
      </w:pPr>
      <w:r w:rsidRPr="006258E5">
        <w:rPr>
          <w:color w:val="000000" w:themeColor="text1"/>
          <w:sz w:val="18"/>
          <w:szCs w:val="18"/>
          <w:lang w:val="ro-RO"/>
        </w:rPr>
        <w:t>VID - valoarea investiţiilor în segmentul upstream deductibile</w:t>
      </w:r>
    </w:p>
    <w:p w14:paraId="401FC831" w14:textId="77777777" w:rsidR="00EA3BF6" w:rsidRPr="006258E5" w:rsidRDefault="00EA3BF6" w:rsidP="00EA3BF6">
      <w:pPr>
        <w:rPr>
          <w:color w:val="000000" w:themeColor="text1"/>
          <w:sz w:val="18"/>
          <w:szCs w:val="18"/>
          <w:lang w:val="ro-RO"/>
        </w:rPr>
      </w:pPr>
      <w:r w:rsidRPr="006258E5">
        <w:rPr>
          <w:color w:val="000000" w:themeColor="text1"/>
          <w:sz w:val="18"/>
          <w:szCs w:val="18"/>
          <w:lang w:val="ro-RO"/>
        </w:rPr>
        <w:t>VI – valoarea cumulată a investiţiilor în segmentul upstream aşa cum sunt prevăzute la art. 19 alin. (9) care se diminuează lunar cu valoarea VID dedusă;</w:t>
      </w:r>
    </w:p>
    <w:p w14:paraId="408650EA" w14:textId="0A4262CE" w:rsidR="00B7788A" w:rsidRPr="006258E5" w:rsidRDefault="00922D4C" w:rsidP="00B7788A">
      <w:pPr>
        <w:rPr>
          <w:sz w:val="18"/>
          <w:szCs w:val="18"/>
          <w:lang w:val="ro-RO"/>
        </w:rPr>
      </w:pPr>
      <w:r w:rsidRPr="006258E5">
        <w:rPr>
          <w:sz w:val="18"/>
          <w:szCs w:val="18"/>
          <w:lang w:val="ro-RO"/>
        </w:rPr>
        <w:t>2</w:t>
      </w:r>
      <w:r w:rsidR="00B7788A" w:rsidRPr="006258E5">
        <w:rPr>
          <w:sz w:val="18"/>
          <w:szCs w:val="18"/>
          <w:lang w:val="ro-RO"/>
        </w:rPr>
        <w:t xml:space="preserve">.În cazul în care PMPC depăşeşte </w:t>
      </w:r>
      <w:r w:rsidR="00B7788A" w:rsidRPr="006258E5">
        <w:rPr>
          <w:color w:val="000000" w:themeColor="text1"/>
          <w:sz w:val="18"/>
          <w:szCs w:val="18"/>
          <w:lang w:val="ro-RO"/>
        </w:rPr>
        <w:t>1</w:t>
      </w:r>
      <w:r w:rsidR="0071448D" w:rsidRPr="006258E5">
        <w:rPr>
          <w:color w:val="000000" w:themeColor="text1"/>
          <w:sz w:val="18"/>
          <w:szCs w:val="18"/>
          <w:lang w:val="ro-RO"/>
        </w:rPr>
        <w:t>00</w:t>
      </w:r>
      <w:r w:rsidR="00B7788A" w:rsidRPr="006258E5">
        <w:rPr>
          <w:color w:val="000000" w:themeColor="text1"/>
          <w:sz w:val="18"/>
          <w:szCs w:val="18"/>
          <w:lang w:val="ro-RO"/>
        </w:rPr>
        <w:t xml:space="preserve"> </w:t>
      </w:r>
      <w:r w:rsidR="00B7788A" w:rsidRPr="006258E5">
        <w:rPr>
          <w:sz w:val="18"/>
          <w:szCs w:val="18"/>
          <w:lang w:val="ro-RO"/>
        </w:rPr>
        <w:t>lei /MWh, ajustat cu IPC, impozitul asupra veniturilor suplimentare  total datorat se calculează astfel:</w:t>
      </w:r>
    </w:p>
    <w:p w14:paraId="7BDAF00E" w14:textId="77777777" w:rsidR="00B7788A" w:rsidRPr="006258E5" w:rsidRDefault="00B7788A" w:rsidP="00B7788A">
      <w:pPr>
        <w:rPr>
          <w:sz w:val="18"/>
          <w:szCs w:val="18"/>
          <w:lang w:val="ro-RO"/>
        </w:rPr>
      </w:pPr>
      <w:r w:rsidRPr="006258E5">
        <w:rPr>
          <w:sz w:val="18"/>
          <w:szCs w:val="18"/>
          <w:lang w:val="ro-RO"/>
        </w:rPr>
        <w:t>IVST = ISO - VID</w:t>
      </w:r>
    </w:p>
    <w:p w14:paraId="19383B21" w14:textId="77777777" w:rsidR="00B7788A" w:rsidRPr="006258E5" w:rsidRDefault="00B7788A" w:rsidP="00B7788A">
      <w:pPr>
        <w:rPr>
          <w:sz w:val="18"/>
          <w:szCs w:val="18"/>
          <w:lang w:val="ro-RO"/>
        </w:rPr>
      </w:pPr>
      <w:r w:rsidRPr="006258E5">
        <w:rPr>
          <w:sz w:val="18"/>
          <w:szCs w:val="18"/>
          <w:lang w:val="ro-RO"/>
        </w:rPr>
        <w:t>ISO = CI * VS</w:t>
      </w:r>
    </w:p>
    <w:p w14:paraId="1D412626" w14:textId="77777777" w:rsidR="00B7788A" w:rsidRPr="006258E5" w:rsidRDefault="00B7788A" w:rsidP="00B7788A">
      <w:pPr>
        <w:rPr>
          <w:sz w:val="18"/>
          <w:szCs w:val="18"/>
          <w:lang w:val="ro-RO"/>
        </w:rPr>
      </w:pPr>
      <w:r w:rsidRPr="006258E5">
        <w:rPr>
          <w:sz w:val="18"/>
          <w:szCs w:val="18"/>
          <w:lang w:val="ro-RO"/>
        </w:rPr>
        <w:t>VS = (PMPC - PB) * VGC</w:t>
      </w:r>
    </w:p>
    <w:p w14:paraId="67614C61" w14:textId="77777777" w:rsidR="00B7788A" w:rsidRPr="006258E5" w:rsidRDefault="00B7788A" w:rsidP="00B7788A">
      <w:pPr>
        <w:rPr>
          <w:sz w:val="18"/>
          <w:szCs w:val="18"/>
          <w:lang w:val="ro-RO"/>
        </w:rPr>
      </w:pPr>
      <w:r w:rsidRPr="006258E5">
        <w:rPr>
          <w:sz w:val="18"/>
          <w:szCs w:val="18"/>
          <w:lang w:val="ro-RO"/>
        </w:rPr>
        <w:t>VID = min (VI, 0,4 * ISO)</w:t>
      </w:r>
    </w:p>
    <w:p w14:paraId="1ABC1782" w14:textId="6A81E676" w:rsidR="00B7788A" w:rsidRPr="006258E5" w:rsidRDefault="00B7788A" w:rsidP="00B7788A">
      <w:pPr>
        <w:rPr>
          <w:sz w:val="18"/>
          <w:szCs w:val="18"/>
          <w:lang w:val="ro-RO"/>
        </w:rPr>
      </w:pPr>
      <w:r w:rsidRPr="006258E5">
        <w:rPr>
          <w:sz w:val="18"/>
          <w:szCs w:val="18"/>
          <w:lang w:val="ro-RO"/>
        </w:rPr>
        <w:t>ISO – suma impozitelor suplimentare, calculate pentru fiecare interval de preţ conform art. 19 alin.(3) lit.(a)-(</w:t>
      </w:r>
      <w:r w:rsidR="00F7397C">
        <w:rPr>
          <w:sz w:val="18"/>
          <w:szCs w:val="18"/>
          <w:lang w:val="ro-RO"/>
        </w:rPr>
        <w:t>h</w:t>
      </w:r>
      <w:r w:rsidRPr="006258E5">
        <w:rPr>
          <w:sz w:val="18"/>
          <w:szCs w:val="18"/>
          <w:lang w:val="ro-RO"/>
        </w:rPr>
        <w:t>), respectiv:</w:t>
      </w:r>
    </w:p>
    <w:p w14:paraId="3CDE89C7" w14:textId="77777777" w:rsidR="00B7788A" w:rsidRPr="006258E5" w:rsidRDefault="00B7788A" w:rsidP="00B7788A">
      <w:pPr>
        <w:rPr>
          <w:sz w:val="18"/>
          <w:szCs w:val="18"/>
          <w:lang w:val="ro-RO"/>
        </w:rPr>
      </w:pPr>
      <w:r w:rsidRPr="006258E5">
        <w:rPr>
          <w:sz w:val="18"/>
          <w:szCs w:val="18"/>
          <w:lang w:val="ro-RO"/>
        </w:rPr>
        <w:t>ISO = ISO1 + ISO2 +...+ ISOi</w:t>
      </w:r>
    </w:p>
    <w:p w14:paraId="40586FEF" w14:textId="77777777" w:rsidR="00B7788A" w:rsidRPr="006258E5" w:rsidRDefault="00B7788A" w:rsidP="00B7788A">
      <w:pPr>
        <w:rPr>
          <w:sz w:val="18"/>
          <w:szCs w:val="18"/>
          <w:lang w:val="ro-RO"/>
        </w:rPr>
      </w:pPr>
      <w:r w:rsidRPr="006258E5">
        <w:rPr>
          <w:sz w:val="18"/>
          <w:szCs w:val="18"/>
          <w:lang w:val="ro-RO"/>
        </w:rPr>
        <w:t>ISOi se calculează conform formulei de calcul de la pct. 2 unde termenii corespunzători au următoarele semnificaţii:</w:t>
      </w:r>
    </w:p>
    <w:p w14:paraId="1BCAF918" w14:textId="744A3F39" w:rsidR="00B7788A" w:rsidRPr="006258E5" w:rsidRDefault="00B7788A" w:rsidP="00B7788A">
      <w:pPr>
        <w:rPr>
          <w:sz w:val="18"/>
          <w:szCs w:val="18"/>
          <w:lang w:val="ro-RO"/>
        </w:rPr>
      </w:pPr>
      <w:r w:rsidRPr="006258E5">
        <w:rPr>
          <w:sz w:val="18"/>
          <w:szCs w:val="18"/>
          <w:lang w:val="ro-RO"/>
        </w:rPr>
        <w:t>CI – cota de impozitare a veniturilor suplimentare din vânzarea gazelor naturale</w:t>
      </w:r>
      <w:r w:rsidR="005B1FCA" w:rsidRPr="005B1FCA">
        <w:rPr>
          <w:sz w:val="18"/>
          <w:szCs w:val="18"/>
          <w:lang w:val="ro-RO"/>
        </w:rPr>
        <w:t xml:space="preserve"> </w:t>
      </w:r>
      <w:r w:rsidR="005B1FCA" w:rsidRPr="006258E5">
        <w:rPr>
          <w:sz w:val="18"/>
          <w:szCs w:val="18"/>
          <w:lang w:val="ro-RO"/>
        </w:rPr>
        <w:t>din perimetrele reglemenate de prezenta lege</w:t>
      </w:r>
      <w:r w:rsidRPr="006258E5">
        <w:rPr>
          <w:sz w:val="18"/>
          <w:szCs w:val="18"/>
          <w:lang w:val="ro-RO"/>
        </w:rPr>
        <w:t xml:space="preserve">, pentru fiecare interval de preţ corespunzător conform art. 19 alin.(3) </w:t>
      </w:r>
      <w:r w:rsidRPr="006258E5">
        <w:rPr>
          <w:color w:val="000000" w:themeColor="text1"/>
          <w:sz w:val="18"/>
          <w:szCs w:val="18"/>
          <w:lang w:val="ro-RO"/>
        </w:rPr>
        <w:t>lit.(a)-(</w:t>
      </w:r>
      <w:r w:rsidR="0071448D" w:rsidRPr="006258E5">
        <w:rPr>
          <w:color w:val="000000" w:themeColor="text1"/>
          <w:sz w:val="18"/>
          <w:szCs w:val="18"/>
          <w:lang w:val="ro-RO"/>
        </w:rPr>
        <w:t>h</w:t>
      </w:r>
      <w:r w:rsidRPr="006258E5">
        <w:rPr>
          <w:color w:val="000000" w:themeColor="text1"/>
          <w:sz w:val="18"/>
          <w:szCs w:val="18"/>
          <w:lang w:val="ro-RO"/>
        </w:rPr>
        <w:t>);</w:t>
      </w:r>
    </w:p>
    <w:p w14:paraId="54C2DC51" w14:textId="4B840E14" w:rsidR="00B7788A" w:rsidRPr="006258E5" w:rsidRDefault="00B7788A" w:rsidP="00B7788A">
      <w:pPr>
        <w:rPr>
          <w:sz w:val="18"/>
          <w:szCs w:val="18"/>
          <w:lang w:val="ro-RO"/>
        </w:rPr>
      </w:pPr>
      <w:r w:rsidRPr="006258E5">
        <w:rPr>
          <w:sz w:val="18"/>
          <w:szCs w:val="18"/>
          <w:lang w:val="ro-RO"/>
        </w:rPr>
        <w:t>PB – preţ de bază minim al intervalului de calcul corespunzător, ajustat anual începând cu 1 ianuarie 202</w:t>
      </w:r>
      <w:r w:rsidR="007A7619" w:rsidRPr="006258E5">
        <w:rPr>
          <w:sz w:val="18"/>
          <w:szCs w:val="18"/>
          <w:lang w:val="ro-RO"/>
        </w:rPr>
        <w:t>3</w:t>
      </w:r>
      <w:r w:rsidRPr="006258E5">
        <w:rPr>
          <w:sz w:val="18"/>
          <w:szCs w:val="18"/>
          <w:lang w:val="ro-RO"/>
        </w:rPr>
        <w:t xml:space="preserve"> cu IPC;</w:t>
      </w:r>
    </w:p>
    <w:p w14:paraId="528AFE05" w14:textId="0F4387C1" w:rsidR="00B7788A" w:rsidRPr="006258E5" w:rsidRDefault="00B7788A" w:rsidP="00B7788A">
      <w:pPr>
        <w:rPr>
          <w:sz w:val="18"/>
          <w:szCs w:val="18"/>
          <w:lang w:val="ro-RO"/>
        </w:rPr>
      </w:pPr>
      <w:r w:rsidRPr="006258E5">
        <w:rPr>
          <w:sz w:val="18"/>
          <w:szCs w:val="18"/>
          <w:lang w:val="ro-RO"/>
        </w:rPr>
        <w:t>VS – venitul suplimentar din perimetrele</w:t>
      </w:r>
      <w:r w:rsidR="00321EE3" w:rsidRPr="006258E5">
        <w:rPr>
          <w:sz w:val="18"/>
          <w:szCs w:val="18"/>
          <w:lang w:val="ro-RO"/>
        </w:rPr>
        <w:t xml:space="preserve"> reglemenate de prezenta lege</w:t>
      </w:r>
      <w:r w:rsidRPr="006258E5">
        <w:rPr>
          <w:sz w:val="18"/>
          <w:szCs w:val="18"/>
          <w:lang w:val="ro-RO"/>
        </w:rPr>
        <w:t>, calculat pentru fiecare intervalul de preţ corespunzător.</w:t>
      </w:r>
    </w:p>
    <w:p w14:paraId="393FE38D" w14:textId="1F1621B7" w:rsidR="00B7788A" w:rsidRPr="006258E5" w:rsidRDefault="00B7788A" w:rsidP="00B7788A">
      <w:pPr>
        <w:rPr>
          <w:sz w:val="18"/>
          <w:szCs w:val="18"/>
          <w:lang w:val="ro-RO"/>
        </w:rPr>
      </w:pPr>
      <w:r w:rsidRPr="006258E5">
        <w:rPr>
          <w:sz w:val="18"/>
          <w:szCs w:val="18"/>
          <w:lang w:val="ro-RO"/>
        </w:rPr>
        <w:t>Exemplu de calcul: pentru vânzarea unui volum VGC de 1 MWh la un preţ de vânzare de 122 lei/MWh, din care se deduc costurile de transport, distributie, înmagazinare și alte costuri logistice in cuantum total de 2 lei, impozitul asupra veniturilor suplimentare  total datorat se calculează aplicând formulele de mai sus astfel:</w:t>
      </w:r>
    </w:p>
    <w:p w14:paraId="63097AFA" w14:textId="7B3BEBAB" w:rsidR="00B7788A" w:rsidRPr="006258E5" w:rsidRDefault="00B7788A" w:rsidP="00B7788A">
      <w:pPr>
        <w:rPr>
          <w:sz w:val="18"/>
          <w:szCs w:val="18"/>
          <w:lang w:val="ro-RO"/>
        </w:rPr>
      </w:pPr>
      <w:r w:rsidRPr="006258E5">
        <w:rPr>
          <w:sz w:val="18"/>
          <w:szCs w:val="18"/>
          <w:lang w:val="ro-RO"/>
        </w:rPr>
        <w:t xml:space="preserve">IVST = ISO - VID = </w:t>
      </w:r>
      <w:r w:rsidR="00A2201E" w:rsidRPr="006258E5">
        <w:rPr>
          <w:sz w:val="18"/>
          <w:szCs w:val="18"/>
          <w:lang w:val="ro-RO"/>
        </w:rPr>
        <w:t>8,5</w:t>
      </w:r>
      <w:r w:rsidRPr="006258E5">
        <w:rPr>
          <w:sz w:val="18"/>
          <w:szCs w:val="18"/>
          <w:lang w:val="ro-RO"/>
        </w:rPr>
        <w:t xml:space="preserve"> – </w:t>
      </w:r>
      <w:r w:rsidR="00F92605" w:rsidRPr="006258E5">
        <w:rPr>
          <w:sz w:val="18"/>
          <w:szCs w:val="18"/>
          <w:lang w:val="ro-RO"/>
        </w:rPr>
        <w:t>3,4</w:t>
      </w:r>
      <w:r w:rsidRPr="006258E5">
        <w:rPr>
          <w:sz w:val="18"/>
          <w:szCs w:val="18"/>
          <w:lang w:val="ro-RO"/>
        </w:rPr>
        <w:t xml:space="preserve"> = </w:t>
      </w:r>
      <w:r w:rsidR="00F92605" w:rsidRPr="006258E5">
        <w:rPr>
          <w:sz w:val="18"/>
          <w:szCs w:val="18"/>
          <w:lang w:val="ro-RO"/>
        </w:rPr>
        <w:t>5,1</w:t>
      </w:r>
      <w:r w:rsidRPr="006258E5">
        <w:rPr>
          <w:sz w:val="18"/>
          <w:szCs w:val="18"/>
          <w:lang w:val="ro-RO"/>
        </w:rPr>
        <w:t xml:space="preserve"> lei</w:t>
      </w:r>
    </w:p>
    <w:p w14:paraId="7DBFB217" w14:textId="0AABEDDA" w:rsidR="00B7788A" w:rsidRPr="006258E5" w:rsidRDefault="00B7788A" w:rsidP="00B7788A">
      <w:pPr>
        <w:rPr>
          <w:sz w:val="18"/>
          <w:szCs w:val="18"/>
          <w:lang w:val="ro-RO"/>
        </w:rPr>
      </w:pPr>
      <w:r w:rsidRPr="006258E5">
        <w:rPr>
          <w:sz w:val="18"/>
          <w:szCs w:val="18"/>
          <w:lang w:val="ro-RO"/>
        </w:rPr>
        <w:t>ISO = CI1 * VS1 + CI2 * VS2</w:t>
      </w:r>
      <w:r w:rsidR="00A2201E" w:rsidRPr="006258E5">
        <w:rPr>
          <w:sz w:val="18"/>
          <w:szCs w:val="18"/>
          <w:lang w:val="ro-RO"/>
        </w:rPr>
        <w:t xml:space="preserve"> + CI3 * VS3</w:t>
      </w:r>
      <w:r w:rsidRPr="006258E5">
        <w:rPr>
          <w:sz w:val="18"/>
          <w:szCs w:val="18"/>
          <w:lang w:val="ro-RO"/>
        </w:rPr>
        <w:t xml:space="preserve"> = </w:t>
      </w:r>
      <w:r w:rsidR="00A2201E" w:rsidRPr="006258E5">
        <w:rPr>
          <w:sz w:val="18"/>
          <w:szCs w:val="18"/>
          <w:lang w:val="ro-RO"/>
        </w:rPr>
        <w:t xml:space="preserve">0,15*15 + </w:t>
      </w:r>
      <w:r w:rsidRPr="006258E5">
        <w:rPr>
          <w:sz w:val="18"/>
          <w:szCs w:val="18"/>
          <w:lang w:val="ro-RO"/>
        </w:rPr>
        <w:t xml:space="preserve">0,30*15 + 0,35*5 = </w:t>
      </w:r>
      <w:r w:rsidR="00A2201E" w:rsidRPr="006258E5">
        <w:rPr>
          <w:sz w:val="18"/>
          <w:szCs w:val="18"/>
          <w:lang w:val="ro-RO"/>
        </w:rPr>
        <w:t>8</w:t>
      </w:r>
      <w:r w:rsidRPr="006258E5">
        <w:rPr>
          <w:sz w:val="18"/>
          <w:szCs w:val="18"/>
          <w:lang w:val="ro-RO"/>
        </w:rPr>
        <w:t>,</w:t>
      </w:r>
      <w:r w:rsidR="00A2201E" w:rsidRPr="006258E5">
        <w:rPr>
          <w:sz w:val="18"/>
          <w:szCs w:val="18"/>
          <w:lang w:val="ro-RO"/>
        </w:rPr>
        <w:t>5</w:t>
      </w:r>
      <w:r w:rsidRPr="006258E5">
        <w:rPr>
          <w:sz w:val="18"/>
          <w:szCs w:val="18"/>
          <w:lang w:val="ro-RO"/>
        </w:rPr>
        <w:t xml:space="preserve"> lei</w:t>
      </w:r>
    </w:p>
    <w:p w14:paraId="3E20246D" w14:textId="290E82A1" w:rsidR="00B7788A" w:rsidRPr="006258E5" w:rsidRDefault="00B7788A" w:rsidP="00B7788A">
      <w:pPr>
        <w:rPr>
          <w:sz w:val="18"/>
          <w:szCs w:val="18"/>
          <w:lang w:val="ro-RO"/>
        </w:rPr>
      </w:pPr>
      <w:r w:rsidRPr="006258E5">
        <w:rPr>
          <w:sz w:val="18"/>
          <w:szCs w:val="18"/>
          <w:lang w:val="ro-RO"/>
        </w:rPr>
        <w:t>VID = 0,4*ISO = 0,4*</w:t>
      </w:r>
      <w:r w:rsidR="00A2201E" w:rsidRPr="006258E5">
        <w:rPr>
          <w:sz w:val="18"/>
          <w:szCs w:val="18"/>
          <w:lang w:val="ro-RO"/>
        </w:rPr>
        <w:t>8,5</w:t>
      </w:r>
      <w:r w:rsidRPr="006258E5">
        <w:rPr>
          <w:sz w:val="18"/>
          <w:szCs w:val="18"/>
          <w:lang w:val="ro-RO"/>
        </w:rPr>
        <w:t xml:space="preserve"> = </w:t>
      </w:r>
      <w:r w:rsidR="00F92605" w:rsidRPr="006258E5">
        <w:rPr>
          <w:sz w:val="18"/>
          <w:szCs w:val="18"/>
          <w:lang w:val="ro-RO"/>
        </w:rPr>
        <w:t>3,4</w:t>
      </w:r>
      <w:r w:rsidRPr="006258E5">
        <w:rPr>
          <w:sz w:val="18"/>
          <w:szCs w:val="18"/>
          <w:lang w:val="ro-RO"/>
        </w:rPr>
        <w:t xml:space="preserve"> lei</w:t>
      </w:r>
    </w:p>
    <w:p w14:paraId="48D878E0" w14:textId="187E6745" w:rsidR="00A2201E" w:rsidRPr="006258E5" w:rsidRDefault="00A2201E" w:rsidP="00B7788A">
      <w:pPr>
        <w:rPr>
          <w:color w:val="000000" w:themeColor="text1"/>
          <w:sz w:val="18"/>
          <w:szCs w:val="18"/>
          <w:lang w:val="ro-RO"/>
        </w:rPr>
      </w:pPr>
      <w:r w:rsidRPr="006258E5">
        <w:rPr>
          <w:color w:val="000000" w:themeColor="text1"/>
          <w:sz w:val="18"/>
          <w:szCs w:val="18"/>
          <w:lang w:val="ro-RO"/>
        </w:rPr>
        <w:t xml:space="preserve">CI1 = 0,15 - cota de impozitare (15%) a veniturilor suplimentare  din vânzarea gazelor naturale </w:t>
      </w:r>
      <w:r w:rsidR="00C735CD" w:rsidRPr="006258E5">
        <w:rPr>
          <w:color w:val="000000" w:themeColor="text1"/>
          <w:sz w:val="18"/>
          <w:szCs w:val="18"/>
          <w:lang w:val="ro-RO"/>
        </w:rPr>
        <w:t>din perimetrele reglementate de prezenta lege</w:t>
      </w:r>
      <w:r w:rsidR="00C735CD">
        <w:rPr>
          <w:color w:val="000000" w:themeColor="text1"/>
          <w:sz w:val="18"/>
          <w:szCs w:val="18"/>
          <w:lang w:val="ro-RO"/>
        </w:rPr>
        <w:t>,</w:t>
      </w:r>
      <w:r w:rsidR="00C735CD" w:rsidRPr="006258E5">
        <w:rPr>
          <w:color w:val="000000" w:themeColor="text1"/>
          <w:sz w:val="18"/>
          <w:szCs w:val="18"/>
          <w:lang w:val="ro-RO"/>
        </w:rPr>
        <w:t xml:space="preserve"> </w:t>
      </w:r>
      <w:r w:rsidRPr="006258E5">
        <w:rPr>
          <w:color w:val="000000" w:themeColor="text1"/>
          <w:sz w:val="18"/>
          <w:szCs w:val="18"/>
          <w:lang w:val="ro-RO"/>
        </w:rPr>
        <w:t>aplicabilă în urma practicării unor preţuri între 85 lei/MWh şi 100 lei/MWh inclusiv, conform art. 19 alin. (3) lit. a), ajustate anual cu rata IPC incepand cu 1 ianuarie 20</w:t>
      </w:r>
      <w:r w:rsidR="00C45CB0" w:rsidRPr="006258E5">
        <w:rPr>
          <w:color w:val="000000" w:themeColor="text1"/>
          <w:sz w:val="18"/>
          <w:szCs w:val="18"/>
          <w:lang w:val="ro-RO"/>
        </w:rPr>
        <w:t>2</w:t>
      </w:r>
      <w:r w:rsidR="00F7397C">
        <w:rPr>
          <w:color w:val="000000" w:themeColor="text1"/>
          <w:sz w:val="18"/>
          <w:szCs w:val="18"/>
          <w:lang w:val="ro-RO"/>
        </w:rPr>
        <w:t>3</w:t>
      </w:r>
      <w:r w:rsidRPr="006258E5">
        <w:rPr>
          <w:color w:val="000000" w:themeColor="text1"/>
          <w:sz w:val="18"/>
          <w:szCs w:val="18"/>
          <w:lang w:val="ro-RO"/>
        </w:rPr>
        <w:t>;</w:t>
      </w:r>
    </w:p>
    <w:p w14:paraId="72223E0A" w14:textId="08011BA7" w:rsidR="00B7788A" w:rsidRPr="006258E5" w:rsidRDefault="00B7788A" w:rsidP="00B7788A">
      <w:pPr>
        <w:rPr>
          <w:sz w:val="18"/>
          <w:szCs w:val="18"/>
          <w:lang w:val="ro-RO"/>
        </w:rPr>
      </w:pPr>
      <w:r w:rsidRPr="006258E5">
        <w:rPr>
          <w:sz w:val="18"/>
          <w:szCs w:val="18"/>
          <w:lang w:val="ro-RO"/>
        </w:rPr>
        <w:t>CI</w:t>
      </w:r>
      <w:r w:rsidR="00A2201E" w:rsidRPr="006258E5">
        <w:rPr>
          <w:sz w:val="18"/>
          <w:szCs w:val="18"/>
          <w:lang w:val="ro-RO"/>
        </w:rPr>
        <w:t>2</w:t>
      </w:r>
      <w:r w:rsidRPr="006258E5">
        <w:rPr>
          <w:sz w:val="18"/>
          <w:szCs w:val="18"/>
          <w:lang w:val="ro-RO"/>
        </w:rPr>
        <w:t xml:space="preserve"> = 0,3</w:t>
      </w:r>
      <w:r w:rsidR="0071448D" w:rsidRPr="006258E5">
        <w:rPr>
          <w:sz w:val="18"/>
          <w:szCs w:val="18"/>
          <w:lang w:val="ro-RO"/>
        </w:rPr>
        <w:t xml:space="preserve"> </w:t>
      </w:r>
      <w:r w:rsidRPr="006258E5">
        <w:rPr>
          <w:sz w:val="18"/>
          <w:szCs w:val="18"/>
          <w:lang w:val="ro-RO"/>
        </w:rPr>
        <w:t>- cota de impozitare (30%) a veniturilor suplimentare  din vânzarea gazelor naturale</w:t>
      </w:r>
      <w:r w:rsidR="00C735CD" w:rsidRPr="00C735CD">
        <w:rPr>
          <w:color w:val="000000" w:themeColor="text1"/>
          <w:sz w:val="18"/>
          <w:szCs w:val="18"/>
          <w:lang w:val="ro-RO"/>
        </w:rPr>
        <w:t xml:space="preserve"> </w:t>
      </w:r>
      <w:r w:rsidR="00C735CD" w:rsidRPr="006258E5">
        <w:rPr>
          <w:color w:val="000000" w:themeColor="text1"/>
          <w:sz w:val="18"/>
          <w:szCs w:val="18"/>
          <w:lang w:val="ro-RO"/>
        </w:rPr>
        <w:t>din perimetrele reglementate de prezenta lege</w:t>
      </w:r>
      <w:r w:rsidR="00C735CD">
        <w:rPr>
          <w:color w:val="000000" w:themeColor="text1"/>
          <w:sz w:val="18"/>
          <w:szCs w:val="18"/>
          <w:lang w:val="ro-RO"/>
        </w:rPr>
        <w:t>,</w:t>
      </w:r>
      <w:r w:rsidRPr="006258E5">
        <w:rPr>
          <w:sz w:val="18"/>
          <w:szCs w:val="18"/>
          <w:lang w:val="ro-RO"/>
        </w:rPr>
        <w:t xml:space="preserve"> aplicabilă în urma practicării unor preţuri între 100 lei/MWh şi 115 lei/MWh inclusiv, conform art. 19 alin. (3) lit. </w:t>
      </w:r>
      <w:r w:rsidR="00C735CD">
        <w:rPr>
          <w:sz w:val="18"/>
          <w:szCs w:val="18"/>
          <w:lang w:val="ro-RO"/>
        </w:rPr>
        <w:t>b</w:t>
      </w:r>
      <w:r w:rsidRPr="006258E5">
        <w:rPr>
          <w:sz w:val="18"/>
          <w:szCs w:val="18"/>
          <w:lang w:val="ro-RO"/>
        </w:rPr>
        <w:t>), ajustate anual cu rata IPC incepand cu 1 ianuarie 202</w:t>
      </w:r>
      <w:r w:rsidR="00F7397C">
        <w:rPr>
          <w:sz w:val="18"/>
          <w:szCs w:val="18"/>
          <w:lang w:val="ro-RO"/>
        </w:rPr>
        <w:t>3</w:t>
      </w:r>
      <w:r w:rsidRPr="006258E5">
        <w:rPr>
          <w:sz w:val="18"/>
          <w:szCs w:val="18"/>
          <w:lang w:val="ro-RO"/>
        </w:rPr>
        <w:t>;</w:t>
      </w:r>
    </w:p>
    <w:p w14:paraId="26B2FAAC" w14:textId="4DB1FED3" w:rsidR="00B7788A" w:rsidRPr="006258E5" w:rsidRDefault="00B7788A" w:rsidP="00B7788A">
      <w:pPr>
        <w:rPr>
          <w:sz w:val="18"/>
          <w:szCs w:val="18"/>
          <w:lang w:val="ro-RO"/>
        </w:rPr>
      </w:pPr>
      <w:r w:rsidRPr="006258E5">
        <w:rPr>
          <w:sz w:val="18"/>
          <w:szCs w:val="18"/>
          <w:lang w:val="ro-RO"/>
        </w:rPr>
        <w:t>CI</w:t>
      </w:r>
      <w:r w:rsidR="00A2201E" w:rsidRPr="006258E5">
        <w:rPr>
          <w:sz w:val="18"/>
          <w:szCs w:val="18"/>
          <w:lang w:val="ro-RO"/>
        </w:rPr>
        <w:t>3</w:t>
      </w:r>
      <w:r w:rsidRPr="006258E5">
        <w:rPr>
          <w:sz w:val="18"/>
          <w:szCs w:val="18"/>
          <w:lang w:val="ro-RO"/>
        </w:rPr>
        <w:t xml:space="preserve"> = 0,35 - cota de impozitare (35%) a veniturilor suplimentare din vânzarea gazelor naturale</w:t>
      </w:r>
      <w:r w:rsidR="00C735CD" w:rsidRPr="00C735CD">
        <w:rPr>
          <w:color w:val="000000" w:themeColor="text1"/>
          <w:sz w:val="18"/>
          <w:szCs w:val="18"/>
          <w:lang w:val="ro-RO"/>
        </w:rPr>
        <w:t xml:space="preserve"> </w:t>
      </w:r>
      <w:r w:rsidR="00C735CD" w:rsidRPr="006258E5">
        <w:rPr>
          <w:color w:val="000000" w:themeColor="text1"/>
          <w:sz w:val="18"/>
          <w:szCs w:val="18"/>
          <w:lang w:val="ro-RO"/>
        </w:rPr>
        <w:t>din perimetrele reglementate de prezenta lege</w:t>
      </w:r>
      <w:r w:rsidR="00C735CD">
        <w:rPr>
          <w:color w:val="000000" w:themeColor="text1"/>
          <w:sz w:val="18"/>
          <w:szCs w:val="18"/>
          <w:lang w:val="ro-RO"/>
        </w:rPr>
        <w:t>,</w:t>
      </w:r>
      <w:r w:rsidRPr="006258E5">
        <w:rPr>
          <w:sz w:val="18"/>
          <w:szCs w:val="18"/>
          <w:lang w:val="ro-RO"/>
        </w:rPr>
        <w:t xml:space="preserve"> aplicabilă în urma practicării unor preţuri între 115 lei/MWh şi 130 lei/MWh inclusiv, conform art. 19 alin. (3) lit. </w:t>
      </w:r>
      <w:r w:rsidR="00C735CD">
        <w:rPr>
          <w:sz w:val="18"/>
          <w:szCs w:val="18"/>
          <w:lang w:val="ro-RO"/>
        </w:rPr>
        <w:t>c</w:t>
      </w:r>
      <w:r w:rsidRPr="006258E5">
        <w:rPr>
          <w:sz w:val="18"/>
          <w:szCs w:val="18"/>
          <w:lang w:val="ro-RO"/>
        </w:rPr>
        <w:t>), ajustate anual cu rata IPC incepand cu 1 ianuarie 20</w:t>
      </w:r>
      <w:r w:rsidR="00C45CB0" w:rsidRPr="006258E5">
        <w:rPr>
          <w:sz w:val="18"/>
          <w:szCs w:val="18"/>
          <w:lang w:val="ro-RO"/>
        </w:rPr>
        <w:t>2</w:t>
      </w:r>
      <w:r w:rsidR="00F7397C">
        <w:rPr>
          <w:sz w:val="18"/>
          <w:szCs w:val="18"/>
          <w:lang w:val="ro-RO"/>
        </w:rPr>
        <w:t>3</w:t>
      </w:r>
      <w:r w:rsidRPr="006258E5">
        <w:rPr>
          <w:sz w:val="18"/>
          <w:szCs w:val="18"/>
          <w:lang w:val="ro-RO"/>
        </w:rPr>
        <w:t>;</w:t>
      </w:r>
    </w:p>
    <w:p w14:paraId="2998896E" w14:textId="53E681AD" w:rsidR="00A2201E" w:rsidRPr="006258E5" w:rsidRDefault="00A2201E" w:rsidP="00B7788A">
      <w:pPr>
        <w:rPr>
          <w:color w:val="000000" w:themeColor="text1"/>
          <w:sz w:val="18"/>
          <w:szCs w:val="18"/>
          <w:lang w:val="ro-RO"/>
        </w:rPr>
      </w:pPr>
      <w:r w:rsidRPr="006258E5">
        <w:rPr>
          <w:color w:val="000000" w:themeColor="text1"/>
          <w:sz w:val="18"/>
          <w:szCs w:val="18"/>
          <w:lang w:val="ro-RO"/>
        </w:rPr>
        <w:t xml:space="preserve">VS1 = (100 - 85)*1 = 15 lei venitul suplimentar din perimetrele </w:t>
      </w:r>
      <w:r w:rsidR="00321EE3" w:rsidRPr="006258E5">
        <w:rPr>
          <w:color w:val="000000" w:themeColor="text1"/>
          <w:sz w:val="18"/>
          <w:szCs w:val="18"/>
          <w:lang w:val="ro-RO"/>
        </w:rPr>
        <w:t>reglementate de prezenta lege</w:t>
      </w:r>
      <w:r w:rsidRPr="006258E5">
        <w:rPr>
          <w:color w:val="000000" w:themeColor="text1"/>
          <w:sz w:val="18"/>
          <w:szCs w:val="18"/>
          <w:lang w:val="ro-RO"/>
        </w:rPr>
        <w:t>, calculat ca diferenţă între 100 lei/MWh şi 85 lei/MWh, ajustate anual cu rata IPC incepand cu 1 ianuarie 202</w:t>
      </w:r>
      <w:r w:rsidR="00F7397C">
        <w:rPr>
          <w:color w:val="000000" w:themeColor="text1"/>
          <w:sz w:val="18"/>
          <w:szCs w:val="18"/>
          <w:lang w:val="ro-RO"/>
        </w:rPr>
        <w:t>3</w:t>
      </w:r>
      <w:r w:rsidRPr="006258E5">
        <w:rPr>
          <w:color w:val="000000" w:themeColor="text1"/>
          <w:sz w:val="18"/>
          <w:szCs w:val="18"/>
          <w:lang w:val="ro-RO"/>
        </w:rPr>
        <w:t>;</w:t>
      </w:r>
    </w:p>
    <w:p w14:paraId="75E70C9C" w14:textId="08E185B2" w:rsidR="00A2201E" w:rsidRPr="006258E5" w:rsidRDefault="00B7788A" w:rsidP="00B7788A">
      <w:pPr>
        <w:rPr>
          <w:sz w:val="18"/>
          <w:szCs w:val="18"/>
          <w:lang w:val="ro-RO"/>
        </w:rPr>
      </w:pPr>
      <w:r w:rsidRPr="006258E5">
        <w:rPr>
          <w:sz w:val="18"/>
          <w:szCs w:val="18"/>
          <w:lang w:val="ro-RO"/>
        </w:rPr>
        <w:t>VS</w:t>
      </w:r>
      <w:r w:rsidR="00A2201E" w:rsidRPr="006258E5">
        <w:rPr>
          <w:sz w:val="18"/>
          <w:szCs w:val="18"/>
          <w:lang w:val="ro-RO"/>
        </w:rPr>
        <w:t>2</w:t>
      </w:r>
      <w:r w:rsidRPr="006258E5">
        <w:rPr>
          <w:sz w:val="18"/>
          <w:szCs w:val="18"/>
          <w:lang w:val="ro-RO"/>
        </w:rPr>
        <w:t xml:space="preserve"> = (115 - 100)*1 = 15 lei venitul suplimentar din perimetrele </w:t>
      </w:r>
      <w:r w:rsidR="00321EE3" w:rsidRPr="006258E5">
        <w:rPr>
          <w:color w:val="000000" w:themeColor="text1"/>
          <w:sz w:val="18"/>
          <w:szCs w:val="18"/>
          <w:lang w:val="ro-RO"/>
        </w:rPr>
        <w:t>perimetrele reglementate de prezenta lege</w:t>
      </w:r>
      <w:r w:rsidRPr="006258E5">
        <w:rPr>
          <w:sz w:val="18"/>
          <w:szCs w:val="18"/>
          <w:lang w:val="ro-RO"/>
        </w:rPr>
        <w:t>, calculat ca diferenţă între 115 lei/MWh şi 100 lei/MWh, ajustate anual cu rata IPC incepand cu 1 ianuarie 202</w:t>
      </w:r>
      <w:r w:rsidR="00F7397C">
        <w:rPr>
          <w:sz w:val="18"/>
          <w:szCs w:val="18"/>
          <w:lang w:val="ro-RO"/>
        </w:rPr>
        <w:t>3</w:t>
      </w:r>
      <w:r w:rsidRPr="006258E5">
        <w:rPr>
          <w:sz w:val="18"/>
          <w:szCs w:val="18"/>
          <w:lang w:val="ro-RO"/>
        </w:rPr>
        <w:t>;</w:t>
      </w:r>
    </w:p>
    <w:p w14:paraId="3D673DEE" w14:textId="29F21E19" w:rsidR="00B7788A" w:rsidRPr="006258E5" w:rsidRDefault="00B7788A" w:rsidP="00B7788A">
      <w:pPr>
        <w:rPr>
          <w:sz w:val="18"/>
          <w:szCs w:val="18"/>
          <w:lang w:val="ro-RO"/>
        </w:rPr>
      </w:pPr>
      <w:r w:rsidRPr="006258E5">
        <w:rPr>
          <w:sz w:val="18"/>
          <w:szCs w:val="18"/>
          <w:lang w:val="ro-RO"/>
        </w:rPr>
        <w:t>VS</w:t>
      </w:r>
      <w:r w:rsidR="00A2201E" w:rsidRPr="006258E5">
        <w:rPr>
          <w:sz w:val="18"/>
          <w:szCs w:val="18"/>
          <w:lang w:val="ro-RO"/>
        </w:rPr>
        <w:t>3</w:t>
      </w:r>
      <w:r w:rsidRPr="006258E5">
        <w:rPr>
          <w:sz w:val="18"/>
          <w:szCs w:val="18"/>
          <w:lang w:val="ro-RO"/>
        </w:rPr>
        <w:t xml:space="preserve"> = (120</w:t>
      </w:r>
      <w:r w:rsidR="00223CD3">
        <w:rPr>
          <w:sz w:val="18"/>
          <w:szCs w:val="18"/>
          <w:lang w:val="ro-RO"/>
        </w:rPr>
        <w:t xml:space="preserve"> </w:t>
      </w:r>
      <w:r w:rsidRPr="006258E5">
        <w:rPr>
          <w:sz w:val="18"/>
          <w:szCs w:val="18"/>
          <w:lang w:val="ro-RO"/>
        </w:rPr>
        <w:t xml:space="preserve">- 115)*1 = 5 lei venitul suplimentar din perimetrele </w:t>
      </w:r>
      <w:r w:rsidR="00321EE3" w:rsidRPr="006258E5">
        <w:rPr>
          <w:color w:val="000000" w:themeColor="text1"/>
          <w:sz w:val="18"/>
          <w:szCs w:val="18"/>
          <w:lang w:val="ro-RO"/>
        </w:rPr>
        <w:t>perimetrele reglementate de prezenta lege</w:t>
      </w:r>
      <w:r w:rsidRPr="006258E5">
        <w:rPr>
          <w:sz w:val="18"/>
          <w:szCs w:val="18"/>
          <w:lang w:val="ro-RO"/>
        </w:rPr>
        <w:t>, calculat ca diferenţă între PMPC (120 lei/MWh din exemplul dat), şi 115 lei/MWh (preţul de bază minim al intervalului), ajustate anual cu rata IPC incepand cu 1 ianuarie 202</w:t>
      </w:r>
      <w:r w:rsidR="00F7397C">
        <w:rPr>
          <w:sz w:val="18"/>
          <w:szCs w:val="18"/>
          <w:lang w:val="ro-RO"/>
        </w:rPr>
        <w:t>3</w:t>
      </w:r>
      <w:r w:rsidRPr="006258E5">
        <w:rPr>
          <w:sz w:val="18"/>
          <w:szCs w:val="18"/>
          <w:lang w:val="ro-RO"/>
        </w:rPr>
        <w:t>.</w:t>
      </w:r>
    </w:p>
    <w:p w14:paraId="573B04EF" w14:textId="77777777" w:rsidR="00B7788A" w:rsidRPr="006258E5" w:rsidRDefault="00B7788A" w:rsidP="008D25DC">
      <w:pPr>
        <w:rPr>
          <w:sz w:val="18"/>
          <w:szCs w:val="18"/>
          <w:lang w:val="ro-RO"/>
        </w:rPr>
      </w:pPr>
    </w:p>
    <w:p w14:paraId="539DEC8A" w14:textId="77777777" w:rsidR="008D25DC" w:rsidRPr="006258E5" w:rsidRDefault="008D25DC" w:rsidP="008D25DC">
      <w:pPr>
        <w:rPr>
          <w:i/>
          <w:sz w:val="18"/>
          <w:szCs w:val="18"/>
          <w:lang w:val="ro-RO"/>
        </w:rPr>
      </w:pPr>
      <w:r w:rsidRPr="006258E5">
        <w:rPr>
          <w:i/>
          <w:sz w:val="18"/>
          <w:szCs w:val="18"/>
          <w:lang w:val="ro-RO"/>
        </w:rPr>
        <w:t>Această lege a fost adoptată de Parlamentul României, cu respectarea prevederilor art. 75 și ale art. 76 alin. (2) din Constituția României</w:t>
      </w:r>
    </w:p>
    <w:p w14:paraId="6C883D9A" w14:textId="77777777" w:rsidR="008D25DC" w:rsidRPr="006258E5" w:rsidRDefault="008D25DC" w:rsidP="008D25DC">
      <w:pPr>
        <w:rPr>
          <w:i/>
          <w:sz w:val="18"/>
          <w:szCs w:val="1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D25DC" w:rsidRPr="006258E5" w14:paraId="07C97047" w14:textId="77777777" w:rsidTr="008D25DC">
        <w:tc>
          <w:tcPr>
            <w:tcW w:w="4508" w:type="dxa"/>
          </w:tcPr>
          <w:p w14:paraId="41B0241F" w14:textId="77777777" w:rsidR="008D25DC" w:rsidRPr="006258E5" w:rsidRDefault="008D25DC" w:rsidP="00984655">
            <w:pPr>
              <w:spacing w:before="240"/>
              <w:jc w:val="center"/>
              <w:rPr>
                <w:sz w:val="18"/>
                <w:szCs w:val="18"/>
                <w:lang w:val="ro-RO"/>
              </w:rPr>
            </w:pPr>
            <w:r w:rsidRPr="006258E5">
              <w:rPr>
                <w:sz w:val="18"/>
                <w:szCs w:val="18"/>
                <w:lang w:val="ro-RO"/>
              </w:rPr>
              <w:t>PREȘEDINTELE</w:t>
            </w:r>
          </w:p>
          <w:p w14:paraId="1D6697C0" w14:textId="77777777" w:rsidR="008D25DC" w:rsidRPr="006258E5" w:rsidRDefault="008D25DC" w:rsidP="00984655">
            <w:pPr>
              <w:spacing w:before="240"/>
              <w:jc w:val="center"/>
              <w:rPr>
                <w:sz w:val="18"/>
                <w:szCs w:val="18"/>
                <w:lang w:val="ro-RO"/>
              </w:rPr>
            </w:pPr>
            <w:r w:rsidRPr="006258E5">
              <w:rPr>
                <w:sz w:val="18"/>
                <w:szCs w:val="18"/>
                <w:lang w:val="ro-RO"/>
              </w:rPr>
              <w:t>CAMEREI DEPUTAȚILOR</w:t>
            </w:r>
          </w:p>
          <w:p w14:paraId="03D8561A" w14:textId="3028EDF4" w:rsidR="008D25DC" w:rsidRPr="006258E5" w:rsidRDefault="00872F9E" w:rsidP="00984655">
            <w:pPr>
              <w:spacing w:before="240"/>
              <w:jc w:val="center"/>
              <w:rPr>
                <w:sz w:val="18"/>
                <w:szCs w:val="18"/>
                <w:lang w:val="ro-RO"/>
              </w:rPr>
            </w:pPr>
            <w:r w:rsidRPr="006258E5">
              <w:rPr>
                <w:sz w:val="18"/>
                <w:szCs w:val="18"/>
                <w:lang w:val="ro-RO"/>
              </w:rPr>
              <w:t>Ion Marcel Ciolacu</w:t>
            </w:r>
          </w:p>
        </w:tc>
        <w:tc>
          <w:tcPr>
            <w:tcW w:w="4508" w:type="dxa"/>
          </w:tcPr>
          <w:p w14:paraId="1D6BE383" w14:textId="77777777" w:rsidR="008D25DC" w:rsidRPr="006258E5" w:rsidRDefault="008D25DC" w:rsidP="00984655">
            <w:pPr>
              <w:spacing w:before="240"/>
              <w:jc w:val="center"/>
              <w:rPr>
                <w:sz w:val="18"/>
                <w:szCs w:val="18"/>
                <w:lang w:val="ro-RO"/>
              </w:rPr>
            </w:pPr>
            <w:r w:rsidRPr="006258E5">
              <w:rPr>
                <w:sz w:val="18"/>
                <w:szCs w:val="18"/>
                <w:lang w:val="ro-RO"/>
              </w:rPr>
              <w:t>PREȘEDINTELE</w:t>
            </w:r>
          </w:p>
          <w:p w14:paraId="4F03D7AE" w14:textId="77777777" w:rsidR="008D25DC" w:rsidRPr="006258E5" w:rsidRDefault="008D25DC" w:rsidP="00984655">
            <w:pPr>
              <w:spacing w:before="240"/>
              <w:jc w:val="center"/>
              <w:rPr>
                <w:sz w:val="18"/>
                <w:szCs w:val="18"/>
                <w:lang w:val="ro-RO"/>
              </w:rPr>
            </w:pPr>
            <w:r w:rsidRPr="006258E5">
              <w:rPr>
                <w:sz w:val="18"/>
                <w:szCs w:val="18"/>
                <w:lang w:val="ro-RO"/>
              </w:rPr>
              <w:t>SENATULUI</w:t>
            </w:r>
          </w:p>
          <w:p w14:paraId="617605CD" w14:textId="61CC9E88" w:rsidR="008D25DC" w:rsidRPr="006258E5" w:rsidRDefault="00872F9E" w:rsidP="00984655">
            <w:pPr>
              <w:spacing w:before="240"/>
              <w:jc w:val="center"/>
              <w:rPr>
                <w:sz w:val="18"/>
                <w:szCs w:val="18"/>
                <w:lang w:val="ro-RO"/>
              </w:rPr>
            </w:pPr>
            <w:r w:rsidRPr="006258E5">
              <w:rPr>
                <w:sz w:val="18"/>
                <w:szCs w:val="18"/>
                <w:lang w:val="ro-RO"/>
              </w:rPr>
              <w:t>Florin Vasile Catu</w:t>
            </w:r>
          </w:p>
        </w:tc>
      </w:tr>
    </w:tbl>
    <w:p w14:paraId="7F68F73D" w14:textId="09117692" w:rsidR="002D2B22" w:rsidRPr="006258E5" w:rsidRDefault="002D2B22" w:rsidP="008D25DC">
      <w:pPr>
        <w:jc w:val="both"/>
        <w:rPr>
          <w:i/>
          <w:sz w:val="18"/>
          <w:szCs w:val="18"/>
          <w:lang w:val="ro-RO"/>
        </w:rPr>
      </w:pPr>
    </w:p>
    <w:sectPr w:rsidR="002D2B22" w:rsidRPr="006258E5" w:rsidSect="006269B1">
      <w:headerReference w:type="default" r:id="rId15"/>
      <w:pgSz w:w="11900" w:h="1682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91B0" w14:textId="77777777" w:rsidR="00933467" w:rsidRDefault="00933467" w:rsidP="008D25DC">
      <w:r>
        <w:separator/>
      </w:r>
    </w:p>
  </w:endnote>
  <w:endnote w:type="continuationSeparator" w:id="0">
    <w:p w14:paraId="53E63A4C" w14:textId="77777777" w:rsidR="00933467" w:rsidRDefault="00933467" w:rsidP="008D25DC">
      <w:r>
        <w:continuationSeparator/>
      </w:r>
    </w:p>
  </w:endnote>
  <w:endnote w:type="continuationNotice" w:id="1">
    <w:p w14:paraId="2C786A77" w14:textId="77777777" w:rsidR="00933467" w:rsidRDefault="0093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8FBF" w14:textId="77777777" w:rsidR="00933467" w:rsidRDefault="00933467" w:rsidP="008D25DC">
      <w:r>
        <w:separator/>
      </w:r>
    </w:p>
  </w:footnote>
  <w:footnote w:type="continuationSeparator" w:id="0">
    <w:p w14:paraId="781350D8" w14:textId="77777777" w:rsidR="00933467" w:rsidRDefault="00933467" w:rsidP="008D25DC">
      <w:r>
        <w:continuationSeparator/>
      </w:r>
    </w:p>
  </w:footnote>
  <w:footnote w:type="continuationNotice" w:id="1">
    <w:p w14:paraId="6FF7CC6B" w14:textId="77777777" w:rsidR="00933467" w:rsidRDefault="0093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68" w:type="dxa"/>
      <w:jc w:val="center"/>
      <w:tblLayout w:type="fixed"/>
      <w:tblLook w:val="04A0" w:firstRow="1" w:lastRow="0" w:firstColumn="1" w:lastColumn="0" w:noHBand="0" w:noVBand="1"/>
    </w:tblPr>
    <w:tblGrid>
      <w:gridCol w:w="1964"/>
      <w:gridCol w:w="5604"/>
    </w:tblGrid>
    <w:tr w:rsidR="00984655" w:rsidRPr="000D5420" w14:paraId="4B44796F" w14:textId="77777777" w:rsidTr="00984655">
      <w:trPr>
        <w:trHeight w:val="60"/>
        <w:jc w:val="center"/>
      </w:trPr>
      <w:tc>
        <w:tcPr>
          <w:tcW w:w="1964" w:type="dxa"/>
          <w:shd w:val="clear" w:color="auto" w:fill="auto"/>
          <w:vAlign w:val="center"/>
        </w:tcPr>
        <w:p w14:paraId="78C27971" w14:textId="77777777" w:rsidR="00984655" w:rsidRPr="000D5420" w:rsidRDefault="004C0800" w:rsidP="00984655">
          <w:pPr>
            <w:jc w:val="center"/>
          </w:pPr>
          <w:r w:rsidRPr="008453B9">
            <w:rPr>
              <w:rFonts w:ascii="Verdana" w:hAnsi="Verdana"/>
              <w:b/>
              <w:noProof/>
            </w:rPr>
            <w:drawing>
              <wp:inline distT="0" distB="0" distL="0" distR="0" wp14:anchorId="52DFDE65" wp14:editId="7163A36D">
                <wp:extent cx="825500" cy="99695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96950"/>
                        </a:xfrm>
                        <a:prstGeom prst="rect">
                          <a:avLst/>
                        </a:prstGeom>
                        <a:noFill/>
                        <a:ln>
                          <a:noFill/>
                        </a:ln>
                      </pic:spPr>
                    </pic:pic>
                  </a:graphicData>
                </a:graphic>
              </wp:inline>
            </w:drawing>
          </w:r>
        </w:p>
      </w:tc>
      <w:tc>
        <w:tcPr>
          <w:tcW w:w="5604" w:type="dxa"/>
          <w:shd w:val="clear" w:color="auto" w:fill="auto"/>
          <w:vAlign w:val="center"/>
        </w:tcPr>
        <w:p w14:paraId="57B9E0CE" w14:textId="77777777" w:rsidR="00984655" w:rsidRPr="00D36411" w:rsidRDefault="004C0800" w:rsidP="00984655">
          <w:pPr>
            <w:ind w:left="177" w:right="-114"/>
            <w:jc w:val="center"/>
            <w:rPr>
              <w:b/>
              <w:sz w:val="52"/>
              <w:szCs w:val="52"/>
            </w:rPr>
          </w:pPr>
          <w:r w:rsidRPr="00D36411">
            <w:rPr>
              <w:b/>
              <w:sz w:val="52"/>
              <w:szCs w:val="52"/>
            </w:rPr>
            <w:t>Parlamentul României</w:t>
          </w:r>
        </w:p>
        <w:p w14:paraId="10F22950" w14:textId="77777777" w:rsidR="00984655" w:rsidRPr="00D36411" w:rsidRDefault="004C0800" w:rsidP="00984655">
          <w:pPr>
            <w:ind w:left="177" w:right="-114"/>
            <w:jc w:val="center"/>
            <w:rPr>
              <w:b/>
              <w:sz w:val="52"/>
              <w:szCs w:val="52"/>
            </w:rPr>
          </w:pPr>
          <w:r w:rsidRPr="00D36411">
            <w:rPr>
              <w:b/>
              <w:sz w:val="52"/>
              <w:szCs w:val="52"/>
            </w:rPr>
            <w:t>Camera Deputaţilor</w:t>
          </w:r>
        </w:p>
        <w:p w14:paraId="352799CF" w14:textId="77777777" w:rsidR="00984655" w:rsidRPr="000D5420" w:rsidRDefault="00984655" w:rsidP="00984655">
          <w:pPr>
            <w:ind w:left="177" w:right="-114"/>
            <w:jc w:val="center"/>
          </w:pPr>
        </w:p>
      </w:tc>
    </w:tr>
  </w:tbl>
  <w:p w14:paraId="1CF36BFF" w14:textId="77777777" w:rsidR="00984655" w:rsidRDefault="0098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DF3E" w14:textId="77777777" w:rsidR="00984655" w:rsidRDefault="004C0800" w:rsidP="00984655">
    <w:pPr>
      <w:pStyle w:val="Header"/>
      <w:jc w:val="center"/>
    </w:pPr>
    <w:r w:rsidRPr="008453B9">
      <w:rPr>
        <w:rFonts w:ascii="Verdana" w:hAnsi="Verdana"/>
        <w:b/>
        <w:noProof/>
      </w:rPr>
      <w:drawing>
        <wp:inline distT="0" distB="0" distL="0" distR="0" wp14:anchorId="5A6480FC" wp14:editId="5CB51CC9">
          <wp:extent cx="825500" cy="99695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96950"/>
                  </a:xfrm>
                  <a:prstGeom prst="rect">
                    <a:avLst/>
                  </a:prstGeom>
                  <a:noFill/>
                  <a:ln>
                    <a:noFill/>
                  </a:ln>
                </pic:spPr>
              </pic:pic>
            </a:graphicData>
          </a:graphic>
        </wp:inline>
      </w:drawing>
    </w:r>
  </w:p>
  <w:p w14:paraId="0F651DDA" w14:textId="77777777" w:rsidR="00984655" w:rsidRDefault="00984655" w:rsidP="00984655">
    <w:pPr>
      <w:pStyle w:val="Header"/>
      <w:jc w:val="center"/>
    </w:pPr>
  </w:p>
  <w:p w14:paraId="3536DCE2" w14:textId="77777777" w:rsidR="00984655" w:rsidRDefault="004C0800" w:rsidP="00984655">
    <w:pPr>
      <w:pStyle w:val="Header"/>
      <w:jc w:val="center"/>
      <w:rPr>
        <w:rFonts w:ascii="Times New Roman" w:hAnsi="Times New Roman" w:cs="Times New Roman"/>
        <w:b/>
        <w:bCs/>
        <w:i/>
        <w:iCs/>
      </w:rPr>
    </w:pPr>
    <w:r>
      <w:rPr>
        <w:rFonts w:ascii="Times New Roman" w:hAnsi="Times New Roman" w:cs="Times New Roman"/>
        <w:b/>
        <w:bCs/>
        <w:i/>
        <w:iCs/>
      </w:rPr>
      <w:t>PARLAMENTUL ROMÂNIEI</w:t>
    </w:r>
  </w:p>
  <w:p w14:paraId="14C495C8" w14:textId="77777777" w:rsidR="00984655" w:rsidRDefault="00984655" w:rsidP="00984655">
    <w:pPr>
      <w:pStyle w:val="Header"/>
      <w:jc w:val="center"/>
      <w:rPr>
        <w:rFonts w:ascii="Times New Roman" w:hAnsi="Times New Roman" w:cs="Times New Roman"/>
        <w:b/>
        <w:bCs/>
        <w:i/>
        <w:iCs/>
      </w:rPr>
    </w:pPr>
  </w:p>
  <w:p w14:paraId="54B2DEAA" w14:textId="77777777" w:rsidR="00984655" w:rsidRPr="00D70132" w:rsidRDefault="004C0800" w:rsidP="00984655">
    <w:pPr>
      <w:pStyle w:val="Header"/>
      <w:jc w:val="center"/>
      <w:rPr>
        <w:rFonts w:ascii="Times New Roman" w:hAnsi="Times New Roman" w:cs="Times New Roman"/>
        <w:b/>
        <w:bCs/>
        <w:i/>
        <w:iCs/>
      </w:rPr>
    </w:pPr>
    <w:r>
      <w:rPr>
        <w:rFonts w:ascii="Times New Roman" w:hAnsi="Times New Roman" w:cs="Times New Roman"/>
        <w:b/>
        <w:bCs/>
        <w:i/>
        <w:iCs/>
      </w:rPr>
      <w:t>Senat</w:t>
    </w:r>
    <w:r>
      <w:rPr>
        <w:rFonts w:ascii="Times New Roman" w:hAnsi="Times New Roman" w:cs="Times New Roman"/>
        <w:b/>
        <w:bCs/>
        <w:i/>
        <w:iCs/>
      </w:rPr>
      <w:tab/>
    </w:r>
    <w:r>
      <w:rPr>
        <w:rFonts w:ascii="Times New Roman" w:hAnsi="Times New Roman" w:cs="Times New Roman"/>
        <w:b/>
        <w:bCs/>
        <w:i/>
        <w:iCs/>
      </w:rPr>
      <w:tab/>
      <w:t>Camera Deputaților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CCA"/>
    <w:multiLevelType w:val="hybridMultilevel"/>
    <w:tmpl w:val="D3D2A694"/>
    <w:lvl w:ilvl="0" w:tplc="04A2FAB8">
      <w:start w:val="1"/>
      <w:numFmt w:val="lowerRoman"/>
      <w:lvlText w:val="(%1)"/>
      <w:lvlJc w:val="left"/>
      <w:pPr>
        <w:tabs>
          <w:tab w:val="num" w:pos="1080"/>
        </w:tabs>
        <w:ind w:left="1080" w:hanging="720"/>
      </w:pPr>
      <w:rPr>
        <w:rFonts w:hint="default"/>
      </w:rPr>
    </w:lvl>
    <w:lvl w:ilvl="1" w:tplc="78A6F58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6158C5"/>
    <w:multiLevelType w:val="hybridMultilevel"/>
    <w:tmpl w:val="679E79CC"/>
    <w:lvl w:ilvl="0" w:tplc="AAEE1B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9D37BE"/>
    <w:multiLevelType w:val="hybridMultilevel"/>
    <w:tmpl w:val="D890CEDA"/>
    <w:lvl w:ilvl="0" w:tplc="24BEFF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023FE"/>
    <w:multiLevelType w:val="hybridMultilevel"/>
    <w:tmpl w:val="9982B544"/>
    <w:lvl w:ilvl="0" w:tplc="FE42B946">
      <w:start w:val="1"/>
      <w:numFmt w:val="lowerRoman"/>
      <w:lvlText w:val="(%1)"/>
      <w:lvlJc w:val="left"/>
      <w:pPr>
        <w:tabs>
          <w:tab w:val="num" w:pos="1080"/>
        </w:tabs>
        <w:ind w:left="1080" w:hanging="720"/>
      </w:pPr>
      <w:rPr>
        <w:rFonts w:hint="default"/>
      </w:rPr>
    </w:lvl>
    <w:lvl w:ilvl="1" w:tplc="F726FE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9242A"/>
    <w:multiLevelType w:val="hybridMultilevel"/>
    <w:tmpl w:val="09F68754"/>
    <w:lvl w:ilvl="0" w:tplc="04A2FAB8">
      <w:start w:val="1"/>
      <w:numFmt w:val="lowerRoman"/>
      <w:lvlText w:val="(%1)"/>
      <w:lvlJc w:val="left"/>
      <w:pPr>
        <w:tabs>
          <w:tab w:val="num" w:pos="1080"/>
        </w:tabs>
        <w:ind w:left="1080" w:hanging="720"/>
      </w:pPr>
      <w:rPr>
        <w:rFonts w:hint="default"/>
      </w:rPr>
    </w:lvl>
    <w:lvl w:ilvl="1" w:tplc="9AE6FE22">
      <w:start w:val="3"/>
      <w:numFmt w:val="lowerLetter"/>
      <w:lvlText w:val="%2)"/>
      <w:lvlJc w:val="left"/>
      <w:pPr>
        <w:tabs>
          <w:tab w:val="num" w:pos="1800"/>
        </w:tabs>
        <w:ind w:left="1800" w:hanging="360"/>
      </w:pPr>
      <w:rPr>
        <w:rFonts w:hint="default"/>
      </w:rPr>
    </w:lvl>
    <w:lvl w:ilvl="2" w:tplc="04A2FAB8">
      <w:start w:val="1"/>
      <w:numFmt w:val="lowerRoman"/>
      <w:lvlText w:val="(%3)"/>
      <w:lvlJc w:val="left"/>
      <w:pPr>
        <w:tabs>
          <w:tab w:val="num" w:pos="3060"/>
        </w:tabs>
        <w:ind w:left="3060" w:hanging="720"/>
      </w:pPr>
      <w:rPr>
        <w:rFonts w:hint="default"/>
      </w:rPr>
    </w:lvl>
    <w:lvl w:ilvl="3" w:tplc="040207A8">
      <w:start w:val="5"/>
      <w:numFmt w:val="bullet"/>
      <w:lvlText w:val="-"/>
      <w:lvlJc w:val="left"/>
      <w:pPr>
        <w:tabs>
          <w:tab w:val="num" w:pos="3240"/>
        </w:tabs>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FB54A6"/>
    <w:multiLevelType w:val="hybridMultilevel"/>
    <w:tmpl w:val="1A98B764"/>
    <w:lvl w:ilvl="0" w:tplc="91D65B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AA6F00"/>
    <w:multiLevelType w:val="hybridMultilevel"/>
    <w:tmpl w:val="5B425B62"/>
    <w:lvl w:ilvl="0" w:tplc="0809000F">
      <w:start w:val="1"/>
      <w:numFmt w:val="decimal"/>
      <w:lvlText w:val="%1."/>
      <w:lvlJc w:val="left"/>
      <w:pPr>
        <w:ind w:left="1123" w:hanging="360"/>
      </w:p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7" w15:restartNumberingAfterBreak="0">
    <w:nsid w:val="3B7D7B7F"/>
    <w:multiLevelType w:val="hybridMultilevel"/>
    <w:tmpl w:val="800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C3D40"/>
    <w:multiLevelType w:val="hybridMultilevel"/>
    <w:tmpl w:val="A6E668C4"/>
    <w:lvl w:ilvl="0" w:tplc="2814EAA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BA118E"/>
    <w:multiLevelType w:val="hybridMultilevel"/>
    <w:tmpl w:val="B94E80C2"/>
    <w:lvl w:ilvl="0" w:tplc="9BDCAEE8">
      <w:start w:val="1"/>
      <w:numFmt w:val="lowerLetter"/>
      <w:lvlText w:val="%1)"/>
      <w:lvlJc w:val="left"/>
      <w:pPr>
        <w:tabs>
          <w:tab w:val="num" w:pos="360"/>
        </w:tabs>
        <w:ind w:left="360" w:hanging="360"/>
      </w:pPr>
      <w:rPr>
        <w:rFonts w:hint="default"/>
      </w:rPr>
    </w:lvl>
    <w:lvl w:ilvl="1" w:tplc="FE42B946">
      <w:start w:val="1"/>
      <w:numFmt w:val="lowerRoman"/>
      <w:lvlText w:val="(%2)"/>
      <w:lvlJc w:val="left"/>
      <w:pPr>
        <w:tabs>
          <w:tab w:val="num" w:pos="1800"/>
        </w:tabs>
        <w:ind w:left="1800" w:hanging="720"/>
      </w:pPr>
      <w:rPr>
        <w:rFonts w:hint="default"/>
      </w:rPr>
    </w:lvl>
    <w:lvl w:ilvl="2" w:tplc="F666354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7D5349"/>
    <w:multiLevelType w:val="hybridMultilevel"/>
    <w:tmpl w:val="B232D2DA"/>
    <w:lvl w:ilvl="0" w:tplc="08A852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80C4C"/>
    <w:multiLevelType w:val="hybridMultilevel"/>
    <w:tmpl w:val="8538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D1257"/>
    <w:multiLevelType w:val="hybridMultilevel"/>
    <w:tmpl w:val="A7A6016A"/>
    <w:lvl w:ilvl="0" w:tplc="DA0EC30E">
      <w:start w:val="1"/>
      <w:numFmt w:val="lowerRoman"/>
      <w:lvlText w:val="(%1)"/>
      <w:lvlJc w:val="left"/>
      <w:pPr>
        <w:ind w:left="1788" w:hanging="72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3" w15:restartNumberingAfterBreak="0">
    <w:nsid w:val="61344F7F"/>
    <w:multiLevelType w:val="hybridMultilevel"/>
    <w:tmpl w:val="117E6F98"/>
    <w:lvl w:ilvl="0" w:tplc="B36A6D92">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0E2CA3"/>
    <w:multiLevelType w:val="hybridMultilevel"/>
    <w:tmpl w:val="560C5D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2492D"/>
    <w:multiLevelType w:val="hybridMultilevel"/>
    <w:tmpl w:val="16BC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45715"/>
    <w:multiLevelType w:val="hybridMultilevel"/>
    <w:tmpl w:val="AA4E24F2"/>
    <w:lvl w:ilvl="0" w:tplc="08A85232">
      <w:start w:val="1"/>
      <w:numFmt w:val="lowerRoman"/>
      <w:lvlText w:val="(%1)"/>
      <w:lvlJc w:val="left"/>
      <w:pPr>
        <w:ind w:left="1839" w:hanging="360"/>
      </w:pPr>
      <w:rPr>
        <w:rFonts w:hint="default"/>
      </w:rPr>
    </w:lvl>
    <w:lvl w:ilvl="1" w:tplc="08090019" w:tentative="1">
      <w:start w:val="1"/>
      <w:numFmt w:val="lowerLetter"/>
      <w:lvlText w:val="%2."/>
      <w:lvlJc w:val="left"/>
      <w:pPr>
        <w:ind w:left="2559" w:hanging="360"/>
      </w:pPr>
    </w:lvl>
    <w:lvl w:ilvl="2" w:tplc="0809001B" w:tentative="1">
      <w:start w:val="1"/>
      <w:numFmt w:val="lowerRoman"/>
      <w:lvlText w:val="%3."/>
      <w:lvlJc w:val="right"/>
      <w:pPr>
        <w:ind w:left="3279" w:hanging="180"/>
      </w:pPr>
    </w:lvl>
    <w:lvl w:ilvl="3" w:tplc="0809000F" w:tentative="1">
      <w:start w:val="1"/>
      <w:numFmt w:val="decimal"/>
      <w:lvlText w:val="%4."/>
      <w:lvlJc w:val="left"/>
      <w:pPr>
        <w:ind w:left="3999" w:hanging="360"/>
      </w:pPr>
    </w:lvl>
    <w:lvl w:ilvl="4" w:tplc="08090019" w:tentative="1">
      <w:start w:val="1"/>
      <w:numFmt w:val="lowerLetter"/>
      <w:lvlText w:val="%5."/>
      <w:lvlJc w:val="left"/>
      <w:pPr>
        <w:ind w:left="4719" w:hanging="360"/>
      </w:pPr>
    </w:lvl>
    <w:lvl w:ilvl="5" w:tplc="0809001B" w:tentative="1">
      <w:start w:val="1"/>
      <w:numFmt w:val="lowerRoman"/>
      <w:lvlText w:val="%6."/>
      <w:lvlJc w:val="right"/>
      <w:pPr>
        <w:ind w:left="5439" w:hanging="180"/>
      </w:pPr>
    </w:lvl>
    <w:lvl w:ilvl="6" w:tplc="0809000F" w:tentative="1">
      <w:start w:val="1"/>
      <w:numFmt w:val="decimal"/>
      <w:lvlText w:val="%7."/>
      <w:lvlJc w:val="left"/>
      <w:pPr>
        <w:ind w:left="6159" w:hanging="360"/>
      </w:pPr>
    </w:lvl>
    <w:lvl w:ilvl="7" w:tplc="08090019" w:tentative="1">
      <w:start w:val="1"/>
      <w:numFmt w:val="lowerLetter"/>
      <w:lvlText w:val="%8."/>
      <w:lvlJc w:val="left"/>
      <w:pPr>
        <w:ind w:left="6879" w:hanging="360"/>
      </w:pPr>
    </w:lvl>
    <w:lvl w:ilvl="8" w:tplc="0809001B" w:tentative="1">
      <w:start w:val="1"/>
      <w:numFmt w:val="lowerRoman"/>
      <w:lvlText w:val="%9."/>
      <w:lvlJc w:val="right"/>
      <w:pPr>
        <w:ind w:left="7599" w:hanging="180"/>
      </w:pPr>
    </w:lvl>
  </w:abstractNum>
  <w:abstractNum w:abstractNumId="17" w15:restartNumberingAfterBreak="0">
    <w:nsid w:val="77C04C5C"/>
    <w:multiLevelType w:val="hybridMultilevel"/>
    <w:tmpl w:val="684A4FE6"/>
    <w:lvl w:ilvl="0" w:tplc="2814EAA0">
      <w:start w:val="1"/>
      <w:numFmt w:val="decimal"/>
      <w:lvlText w:val="%1."/>
      <w:lvlJc w:val="left"/>
      <w:pPr>
        <w:ind w:left="655" w:hanging="360"/>
      </w:pPr>
      <w:rPr>
        <w:rFonts w:hint="default"/>
        <w:b w:val="0"/>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18" w15:restartNumberingAfterBreak="0">
    <w:nsid w:val="7DD2383C"/>
    <w:multiLevelType w:val="hybridMultilevel"/>
    <w:tmpl w:val="2F16E676"/>
    <w:lvl w:ilvl="0" w:tplc="A7C4984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85852740">
    <w:abstractNumId w:val="14"/>
  </w:num>
  <w:num w:numId="2" w16cid:durableId="1095594526">
    <w:abstractNumId w:val="1"/>
  </w:num>
  <w:num w:numId="3" w16cid:durableId="105271896">
    <w:abstractNumId w:val="10"/>
  </w:num>
  <w:num w:numId="4" w16cid:durableId="856310771">
    <w:abstractNumId w:val="5"/>
  </w:num>
  <w:num w:numId="5" w16cid:durableId="1087994663">
    <w:abstractNumId w:val="3"/>
  </w:num>
  <w:num w:numId="6" w16cid:durableId="110587813">
    <w:abstractNumId w:val="9"/>
  </w:num>
  <w:num w:numId="7" w16cid:durableId="544105556">
    <w:abstractNumId w:val="0"/>
  </w:num>
  <w:num w:numId="8" w16cid:durableId="1527060268">
    <w:abstractNumId w:val="4"/>
  </w:num>
  <w:num w:numId="9" w16cid:durableId="574441551">
    <w:abstractNumId w:val="18"/>
  </w:num>
  <w:num w:numId="10" w16cid:durableId="1822843258">
    <w:abstractNumId w:val="2"/>
  </w:num>
  <w:num w:numId="11" w16cid:durableId="1594388753">
    <w:abstractNumId w:val="13"/>
  </w:num>
  <w:num w:numId="12" w16cid:durableId="336855201">
    <w:abstractNumId w:val="15"/>
  </w:num>
  <w:num w:numId="13" w16cid:durableId="1094013887">
    <w:abstractNumId w:val="8"/>
  </w:num>
  <w:num w:numId="14" w16cid:durableId="869950337">
    <w:abstractNumId w:val="6"/>
  </w:num>
  <w:num w:numId="15" w16cid:durableId="1478569408">
    <w:abstractNumId w:val="17"/>
  </w:num>
  <w:num w:numId="16" w16cid:durableId="1090270202">
    <w:abstractNumId w:val="11"/>
  </w:num>
  <w:num w:numId="17" w16cid:durableId="1886403107">
    <w:abstractNumId w:val="7"/>
  </w:num>
  <w:num w:numId="18" w16cid:durableId="632826426">
    <w:abstractNumId w:val="12"/>
  </w:num>
  <w:num w:numId="19" w16cid:durableId="985090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D1"/>
    <w:rsid w:val="00021DE3"/>
    <w:rsid w:val="00025D1C"/>
    <w:rsid w:val="0003080E"/>
    <w:rsid w:val="00031F33"/>
    <w:rsid w:val="00036E19"/>
    <w:rsid w:val="0003748F"/>
    <w:rsid w:val="00045F4C"/>
    <w:rsid w:val="00053643"/>
    <w:rsid w:val="00063883"/>
    <w:rsid w:val="00071B44"/>
    <w:rsid w:val="000722B2"/>
    <w:rsid w:val="00073A6E"/>
    <w:rsid w:val="00074BCC"/>
    <w:rsid w:val="00076ED8"/>
    <w:rsid w:val="00077BF0"/>
    <w:rsid w:val="00081BE1"/>
    <w:rsid w:val="0008497A"/>
    <w:rsid w:val="0008790F"/>
    <w:rsid w:val="00095D9E"/>
    <w:rsid w:val="000A16BC"/>
    <w:rsid w:val="000A6830"/>
    <w:rsid w:val="000D3057"/>
    <w:rsid w:val="000E6FF9"/>
    <w:rsid w:val="000F538C"/>
    <w:rsid w:val="00105BBD"/>
    <w:rsid w:val="0011028A"/>
    <w:rsid w:val="00112481"/>
    <w:rsid w:val="00126757"/>
    <w:rsid w:val="001276EA"/>
    <w:rsid w:val="00160AB5"/>
    <w:rsid w:val="00161C1A"/>
    <w:rsid w:val="001730A2"/>
    <w:rsid w:val="00180227"/>
    <w:rsid w:val="0018722F"/>
    <w:rsid w:val="00191346"/>
    <w:rsid w:val="0019227A"/>
    <w:rsid w:val="001935D1"/>
    <w:rsid w:val="00194C94"/>
    <w:rsid w:val="001A7616"/>
    <w:rsid w:val="001B1012"/>
    <w:rsid w:val="001B7DA6"/>
    <w:rsid w:val="001D209E"/>
    <w:rsid w:val="001D6084"/>
    <w:rsid w:val="001E3251"/>
    <w:rsid w:val="00214689"/>
    <w:rsid w:val="00223CD3"/>
    <w:rsid w:val="0022427C"/>
    <w:rsid w:val="002360B8"/>
    <w:rsid w:val="00236A92"/>
    <w:rsid w:val="00250FCE"/>
    <w:rsid w:val="00257AF2"/>
    <w:rsid w:val="0026620C"/>
    <w:rsid w:val="002675BE"/>
    <w:rsid w:val="002676D5"/>
    <w:rsid w:val="00272CD0"/>
    <w:rsid w:val="002743CD"/>
    <w:rsid w:val="002773C9"/>
    <w:rsid w:val="00284784"/>
    <w:rsid w:val="002A2C8F"/>
    <w:rsid w:val="002A3C37"/>
    <w:rsid w:val="002A4A05"/>
    <w:rsid w:val="002A59BC"/>
    <w:rsid w:val="002C18E4"/>
    <w:rsid w:val="002C4CDB"/>
    <w:rsid w:val="002D2B22"/>
    <w:rsid w:val="002D5178"/>
    <w:rsid w:val="002D557D"/>
    <w:rsid w:val="002D56BD"/>
    <w:rsid w:val="002D68F5"/>
    <w:rsid w:val="002E33CA"/>
    <w:rsid w:val="00311D91"/>
    <w:rsid w:val="003218E4"/>
    <w:rsid w:val="00321EE3"/>
    <w:rsid w:val="00322D5D"/>
    <w:rsid w:val="00323F2E"/>
    <w:rsid w:val="0032790E"/>
    <w:rsid w:val="0033528F"/>
    <w:rsid w:val="00345B1A"/>
    <w:rsid w:val="00351B3F"/>
    <w:rsid w:val="003566B8"/>
    <w:rsid w:val="00360175"/>
    <w:rsid w:val="003640A5"/>
    <w:rsid w:val="003651CE"/>
    <w:rsid w:val="0037285D"/>
    <w:rsid w:val="003740F0"/>
    <w:rsid w:val="00391D5F"/>
    <w:rsid w:val="003A212D"/>
    <w:rsid w:val="003A4D9C"/>
    <w:rsid w:val="003A6320"/>
    <w:rsid w:val="003C6C6F"/>
    <w:rsid w:val="003D019F"/>
    <w:rsid w:val="003D1DDF"/>
    <w:rsid w:val="003D34C5"/>
    <w:rsid w:val="003D6BD3"/>
    <w:rsid w:val="003E1B5C"/>
    <w:rsid w:val="003E5567"/>
    <w:rsid w:val="00401F47"/>
    <w:rsid w:val="00403DB2"/>
    <w:rsid w:val="00405B80"/>
    <w:rsid w:val="00407914"/>
    <w:rsid w:val="0041227E"/>
    <w:rsid w:val="0041605A"/>
    <w:rsid w:val="00417A3E"/>
    <w:rsid w:val="0043294C"/>
    <w:rsid w:val="00432A65"/>
    <w:rsid w:val="004352C4"/>
    <w:rsid w:val="0043731C"/>
    <w:rsid w:val="0045537A"/>
    <w:rsid w:val="004557DE"/>
    <w:rsid w:val="0046348C"/>
    <w:rsid w:val="004743D8"/>
    <w:rsid w:val="00474885"/>
    <w:rsid w:val="00485B36"/>
    <w:rsid w:val="00487414"/>
    <w:rsid w:val="00487B89"/>
    <w:rsid w:val="004A0A5D"/>
    <w:rsid w:val="004B12D4"/>
    <w:rsid w:val="004C03FC"/>
    <w:rsid w:val="004C0800"/>
    <w:rsid w:val="004C106C"/>
    <w:rsid w:val="004C3475"/>
    <w:rsid w:val="004C552F"/>
    <w:rsid w:val="004C6A5C"/>
    <w:rsid w:val="004D70AE"/>
    <w:rsid w:val="004E2FB7"/>
    <w:rsid w:val="004E5461"/>
    <w:rsid w:val="004F4C6E"/>
    <w:rsid w:val="004F6407"/>
    <w:rsid w:val="004F6536"/>
    <w:rsid w:val="00500E5C"/>
    <w:rsid w:val="00504B9A"/>
    <w:rsid w:val="005207F1"/>
    <w:rsid w:val="00533D25"/>
    <w:rsid w:val="00541504"/>
    <w:rsid w:val="005502E3"/>
    <w:rsid w:val="00561F31"/>
    <w:rsid w:val="00563C13"/>
    <w:rsid w:val="005642C1"/>
    <w:rsid w:val="00564752"/>
    <w:rsid w:val="00566E10"/>
    <w:rsid w:val="00584881"/>
    <w:rsid w:val="005920C3"/>
    <w:rsid w:val="0059506A"/>
    <w:rsid w:val="00595609"/>
    <w:rsid w:val="00596611"/>
    <w:rsid w:val="005A3A90"/>
    <w:rsid w:val="005A3E56"/>
    <w:rsid w:val="005B1FCA"/>
    <w:rsid w:val="005B34CB"/>
    <w:rsid w:val="005B5741"/>
    <w:rsid w:val="005C7874"/>
    <w:rsid w:val="005D6331"/>
    <w:rsid w:val="005E190D"/>
    <w:rsid w:val="005E77E1"/>
    <w:rsid w:val="005F54D8"/>
    <w:rsid w:val="00601F4C"/>
    <w:rsid w:val="006144B1"/>
    <w:rsid w:val="00616041"/>
    <w:rsid w:val="00617B01"/>
    <w:rsid w:val="00622EA4"/>
    <w:rsid w:val="00624D36"/>
    <w:rsid w:val="006258E5"/>
    <w:rsid w:val="00625AFD"/>
    <w:rsid w:val="006269B1"/>
    <w:rsid w:val="00626A61"/>
    <w:rsid w:val="00630F6C"/>
    <w:rsid w:val="00631394"/>
    <w:rsid w:val="00631596"/>
    <w:rsid w:val="00641B22"/>
    <w:rsid w:val="0065086D"/>
    <w:rsid w:val="0066640C"/>
    <w:rsid w:val="00675F1F"/>
    <w:rsid w:val="006775C8"/>
    <w:rsid w:val="006A1C47"/>
    <w:rsid w:val="006A6B15"/>
    <w:rsid w:val="006B250C"/>
    <w:rsid w:val="006C3CCD"/>
    <w:rsid w:val="006D3AE4"/>
    <w:rsid w:val="006E3D13"/>
    <w:rsid w:val="006E71C3"/>
    <w:rsid w:val="00701E98"/>
    <w:rsid w:val="0071039C"/>
    <w:rsid w:val="007118ED"/>
    <w:rsid w:val="007121A5"/>
    <w:rsid w:val="0071448D"/>
    <w:rsid w:val="00715BB4"/>
    <w:rsid w:val="00716489"/>
    <w:rsid w:val="007252AD"/>
    <w:rsid w:val="007264E2"/>
    <w:rsid w:val="007358C9"/>
    <w:rsid w:val="00740B1B"/>
    <w:rsid w:val="00741DF5"/>
    <w:rsid w:val="00745EEC"/>
    <w:rsid w:val="007570BA"/>
    <w:rsid w:val="00761B56"/>
    <w:rsid w:val="00761C4F"/>
    <w:rsid w:val="00764279"/>
    <w:rsid w:val="00766186"/>
    <w:rsid w:val="00775732"/>
    <w:rsid w:val="00791E12"/>
    <w:rsid w:val="007963F9"/>
    <w:rsid w:val="007A1ECC"/>
    <w:rsid w:val="007A7619"/>
    <w:rsid w:val="007B1F36"/>
    <w:rsid w:val="007B237F"/>
    <w:rsid w:val="007B327E"/>
    <w:rsid w:val="007C108D"/>
    <w:rsid w:val="007C64DA"/>
    <w:rsid w:val="007F6AB0"/>
    <w:rsid w:val="00800CD8"/>
    <w:rsid w:val="0080290C"/>
    <w:rsid w:val="00803673"/>
    <w:rsid w:val="008111F0"/>
    <w:rsid w:val="00811DCD"/>
    <w:rsid w:val="00830D39"/>
    <w:rsid w:val="00842DFA"/>
    <w:rsid w:val="00855308"/>
    <w:rsid w:val="00857359"/>
    <w:rsid w:val="00872F9E"/>
    <w:rsid w:val="008A3425"/>
    <w:rsid w:val="008B0808"/>
    <w:rsid w:val="008B392E"/>
    <w:rsid w:val="008C01EA"/>
    <w:rsid w:val="008C343B"/>
    <w:rsid w:val="008D1C5B"/>
    <w:rsid w:val="008D25DC"/>
    <w:rsid w:val="008E7A69"/>
    <w:rsid w:val="008F4381"/>
    <w:rsid w:val="00901BBC"/>
    <w:rsid w:val="009044FA"/>
    <w:rsid w:val="00904F54"/>
    <w:rsid w:val="0090613D"/>
    <w:rsid w:val="0090728A"/>
    <w:rsid w:val="0092127B"/>
    <w:rsid w:val="0092253C"/>
    <w:rsid w:val="00922D4C"/>
    <w:rsid w:val="00926018"/>
    <w:rsid w:val="00926D2B"/>
    <w:rsid w:val="00933467"/>
    <w:rsid w:val="00954E20"/>
    <w:rsid w:val="009622D6"/>
    <w:rsid w:val="009723AA"/>
    <w:rsid w:val="00980EDC"/>
    <w:rsid w:val="00984655"/>
    <w:rsid w:val="00995671"/>
    <w:rsid w:val="009B0ADC"/>
    <w:rsid w:val="009B2CE8"/>
    <w:rsid w:val="009B3C24"/>
    <w:rsid w:val="009C3D87"/>
    <w:rsid w:val="009E71C3"/>
    <w:rsid w:val="009F3735"/>
    <w:rsid w:val="009F4D21"/>
    <w:rsid w:val="009F5AF6"/>
    <w:rsid w:val="00A01B21"/>
    <w:rsid w:val="00A04FF6"/>
    <w:rsid w:val="00A122B5"/>
    <w:rsid w:val="00A12B19"/>
    <w:rsid w:val="00A1338F"/>
    <w:rsid w:val="00A15434"/>
    <w:rsid w:val="00A157EF"/>
    <w:rsid w:val="00A2201E"/>
    <w:rsid w:val="00A35FC5"/>
    <w:rsid w:val="00A51114"/>
    <w:rsid w:val="00A6583A"/>
    <w:rsid w:val="00A6714B"/>
    <w:rsid w:val="00A704AD"/>
    <w:rsid w:val="00A71D24"/>
    <w:rsid w:val="00A74157"/>
    <w:rsid w:val="00A75799"/>
    <w:rsid w:val="00A77E01"/>
    <w:rsid w:val="00A81F4D"/>
    <w:rsid w:val="00AA0118"/>
    <w:rsid w:val="00AA7E57"/>
    <w:rsid w:val="00AB5B05"/>
    <w:rsid w:val="00AB6FB0"/>
    <w:rsid w:val="00AD0E99"/>
    <w:rsid w:val="00AD5662"/>
    <w:rsid w:val="00AF08F0"/>
    <w:rsid w:val="00AF3DDB"/>
    <w:rsid w:val="00B06F90"/>
    <w:rsid w:val="00B1384B"/>
    <w:rsid w:val="00B32C5D"/>
    <w:rsid w:val="00B52B41"/>
    <w:rsid w:val="00B60411"/>
    <w:rsid w:val="00B6617F"/>
    <w:rsid w:val="00B72506"/>
    <w:rsid w:val="00B7788A"/>
    <w:rsid w:val="00BA0564"/>
    <w:rsid w:val="00BA30A2"/>
    <w:rsid w:val="00BA780C"/>
    <w:rsid w:val="00BB44D4"/>
    <w:rsid w:val="00BB7670"/>
    <w:rsid w:val="00BC4A98"/>
    <w:rsid w:val="00BC67A9"/>
    <w:rsid w:val="00BD1D3C"/>
    <w:rsid w:val="00C158F3"/>
    <w:rsid w:val="00C346CA"/>
    <w:rsid w:val="00C36C52"/>
    <w:rsid w:val="00C45CB0"/>
    <w:rsid w:val="00C45DFB"/>
    <w:rsid w:val="00C51250"/>
    <w:rsid w:val="00C55C2C"/>
    <w:rsid w:val="00C57050"/>
    <w:rsid w:val="00C571F8"/>
    <w:rsid w:val="00C63B8E"/>
    <w:rsid w:val="00C650E5"/>
    <w:rsid w:val="00C735CD"/>
    <w:rsid w:val="00C847A9"/>
    <w:rsid w:val="00C853F3"/>
    <w:rsid w:val="00CB0569"/>
    <w:rsid w:val="00CB2940"/>
    <w:rsid w:val="00CB638E"/>
    <w:rsid w:val="00CC0271"/>
    <w:rsid w:val="00CC0891"/>
    <w:rsid w:val="00CC51D4"/>
    <w:rsid w:val="00CC72E8"/>
    <w:rsid w:val="00CF17BE"/>
    <w:rsid w:val="00CF49F8"/>
    <w:rsid w:val="00D0553F"/>
    <w:rsid w:val="00D23C8D"/>
    <w:rsid w:val="00D2543D"/>
    <w:rsid w:val="00D30545"/>
    <w:rsid w:val="00D344AF"/>
    <w:rsid w:val="00D36042"/>
    <w:rsid w:val="00D6452C"/>
    <w:rsid w:val="00D84D02"/>
    <w:rsid w:val="00D85026"/>
    <w:rsid w:val="00D90EED"/>
    <w:rsid w:val="00DB06D6"/>
    <w:rsid w:val="00DB1F69"/>
    <w:rsid w:val="00DB5150"/>
    <w:rsid w:val="00DC285C"/>
    <w:rsid w:val="00DE5E8C"/>
    <w:rsid w:val="00DF14AD"/>
    <w:rsid w:val="00E03B0D"/>
    <w:rsid w:val="00E12DDD"/>
    <w:rsid w:val="00E13802"/>
    <w:rsid w:val="00E148C2"/>
    <w:rsid w:val="00E231B0"/>
    <w:rsid w:val="00E3057F"/>
    <w:rsid w:val="00E73369"/>
    <w:rsid w:val="00E964B7"/>
    <w:rsid w:val="00E97E6A"/>
    <w:rsid w:val="00EA3471"/>
    <w:rsid w:val="00EA3BF6"/>
    <w:rsid w:val="00EA485D"/>
    <w:rsid w:val="00EA489B"/>
    <w:rsid w:val="00EC17F7"/>
    <w:rsid w:val="00EC6E27"/>
    <w:rsid w:val="00EE2A8C"/>
    <w:rsid w:val="00EF0389"/>
    <w:rsid w:val="00EF51DB"/>
    <w:rsid w:val="00EF7AF6"/>
    <w:rsid w:val="00F00F6A"/>
    <w:rsid w:val="00F053EF"/>
    <w:rsid w:val="00F21100"/>
    <w:rsid w:val="00F22E50"/>
    <w:rsid w:val="00F24336"/>
    <w:rsid w:val="00F2632D"/>
    <w:rsid w:val="00F2741A"/>
    <w:rsid w:val="00F40CFD"/>
    <w:rsid w:val="00F43664"/>
    <w:rsid w:val="00F5106A"/>
    <w:rsid w:val="00F64128"/>
    <w:rsid w:val="00F67CCE"/>
    <w:rsid w:val="00F7397C"/>
    <w:rsid w:val="00F80836"/>
    <w:rsid w:val="00F8238C"/>
    <w:rsid w:val="00F844D6"/>
    <w:rsid w:val="00F84CD3"/>
    <w:rsid w:val="00F85F7B"/>
    <w:rsid w:val="00F87F9F"/>
    <w:rsid w:val="00F92605"/>
    <w:rsid w:val="00F95CE2"/>
    <w:rsid w:val="00FB2F1A"/>
    <w:rsid w:val="00FB3950"/>
    <w:rsid w:val="00FC3CF0"/>
    <w:rsid w:val="00FD339B"/>
    <w:rsid w:val="00FD5C69"/>
    <w:rsid w:val="00FE6CBB"/>
    <w:rsid w:val="00FF3080"/>
    <w:rsid w:val="00FF49EB"/>
    <w:rsid w:val="01E1752F"/>
    <w:rsid w:val="020A779D"/>
    <w:rsid w:val="06382D43"/>
    <w:rsid w:val="069DC7B5"/>
    <w:rsid w:val="06DC1764"/>
    <w:rsid w:val="07B758CA"/>
    <w:rsid w:val="0B9EB257"/>
    <w:rsid w:val="0BF29130"/>
    <w:rsid w:val="0C51396B"/>
    <w:rsid w:val="0D11A88D"/>
    <w:rsid w:val="0D4D541E"/>
    <w:rsid w:val="0E9E73F5"/>
    <w:rsid w:val="10DB4400"/>
    <w:rsid w:val="10F4D914"/>
    <w:rsid w:val="14C59777"/>
    <w:rsid w:val="152B9529"/>
    <w:rsid w:val="19D1DF3B"/>
    <w:rsid w:val="1B662B01"/>
    <w:rsid w:val="1D589408"/>
    <w:rsid w:val="1E5A37D3"/>
    <w:rsid w:val="205723F1"/>
    <w:rsid w:val="214660D5"/>
    <w:rsid w:val="217FC8DD"/>
    <w:rsid w:val="28A82B68"/>
    <w:rsid w:val="2C623E07"/>
    <w:rsid w:val="2F45FE05"/>
    <w:rsid w:val="30ABCEF5"/>
    <w:rsid w:val="33CBD9AB"/>
    <w:rsid w:val="37FE7BF0"/>
    <w:rsid w:val="3B27D570"/>
    <w:rsid w:val="3D4932F9"/>
    <w:rsid w:val="3E3401F4"/>
    <w:rsid w:val="3FE77073"/>
    <w:rsid w:val="3FF5A797"/>
    <w:rsid w:val="42FE93C5"/>
    <w:rsid w:val="436BBB1F"/>
    <w:rsid w:val="47EEC088"/>
    <w:rsid w:val="49DD9EAB"/>
    <w:rsid w:val="4B391E5D"/>
    <w:rsid w:val="52FE97D3"/>
    <w:rsid w:val="56AF0A29"/>
    <w:rsid w:val="5974F477"/>
    <w:rsid w:val="5B6D5E67"/>
    <w:rsid w:val="5BCA644B"/>
    <w:rsid w:val="5C3480D9"/>
    <w:rsid w:val="5CA7CF48"/>
    <w:rsid w:val="5F0A9853"/>
    <w:rsid w:val="5F7456B6"/>
    <w:rsid w:val="60891C03"/>
    <w:rsid w:val="644B55FA"/>
    <w:rsid w:val="655F8E83"/>
    <w:rsid w:val="6561E630"/>
    <w:rsid w:val="66CD1B79"/>
    <w:rsid w:val="675AD295"/>
    <w:rsid w:val="6A5208FC"/>
    <w:rsid w:val="6B8E368C"/>
    <w:rsid w:val="6D0894B0"/>
    <w:rsid w:val="6D0EB5A1"/>
    <w:rsid w:val="70E88C7E"/>
    <w:rsid w:val="710711B0"/>
    <w:rsid w:val="7287B6DE"/>
    <w:rsid w:val="72CA7430"/>
    <w:rsid w:val="735CF49F"/>
    <w:rsid w:val="736F2B14"/>
    <w:rsid w:val="766FB616"/>
    <w:rsid w:val="7B6E0C3C"/>
    <w:rsid w:val="7BE15008"/>
    <w:rsid w:val="7D8B350D"/>
    <w:rsid w:val="7F0858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53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1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61604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5D1"/>
    <w:pPr>
      <w:spacing w:after="160" w:line="259" w:lineRule="auto"/>
      <w:ind w:left="720"/>
      <w:contextualSpacing/>
    </w:pPr>
    <w:rPr>
      <w:rFonts w:asciiTheme="minorHAnsi" w:eastAsiaTheme="minorEastAsia" w:hAnsiTheme="minorHAnsi" w:cstheme="minorBidi"/>
      <w:sz w:val="22"/>
      <w:szCs w:val="22"/>
      <w:lang w:eastAsia="en-US"/>
    </w:rPr>
  </w:style>
  <w:style w:type="paragraph" w:styleId="Header">
    <w:name w:val="header"/>
    <w:basedOn w:val="Normal"/>
    <w:link w:val="HeaderChar"/>
    <w:uiPriority w:val="99"/>
    <w:unhideWhenUsed/>
    <w:rsid w:val="008D25DC"/>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8D25DC"/>
  </w:style>
  <w:style w:type="paragraph" w:styleId="Footer">
    <w:name w:val="footer"/>
    <w:basedOn w:val="Normal"/>
    <w:link w:val="FooterChar"/>
    <w:uiPriority w:val="99"/>
    <w:unhideWhenUsed/>
    <w:rsid w:val="008D25DC"/>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8D25DC"/>
  </w:style>
  <w:style w:type="paragraph" w:styleId="BodyText">
    <w:name w:val="Body Text"/>
    <w:basedOn w:val="Normal"/>
    <w:link w:val="BodyTextChar"/>
    <w:uiPriority w:val="1"/>
    <w:qFormat/>
    <w:rsid w:val="008D25DC"/>
    <w:pPr>
      <w:widowControl w:val="0"/>
      <w:autoSpaceDE w:val="0"/>
      <w:autoSpaceDN w:val="0"/>
    </w:pPr>
    <w:rPr>
      <w:i/>
      <w:sz w:val="23"/>
      <w:szCs w:val="23"/>
      <w:lang w:val="en-US" w:eastAsia="en-US"/>
    </w:rPr>
  </w:style>
  <w:style w:type="character" w:customStyle="1" w:styleId="BodyTextChar">
    <w:name w:val="Body Text Char"/>
    <w:basedOn w:val="DefaultParagraphFont"/>
    <w:link w:val="BodyText"/>
    <w:uiPriority w:val="1"/>
    <w:rsid w:val="008D25DC"/>
    <w:rPr>
      <w:rFonts w:ascii="Times New Roman" w:eastAsia="Times New Roman" w:hAnsi="Times New Roman" w:cs="Times New Roman"/>
      <w:i/>
      <w:sz w:val="23"/>
      <w:szCs w:val="23"/>
      <w:lang w:val="en-US"/>
    </w:rPr>
  </w:style>
  <w:style w:type="paragraph" w:customStyle="1" w:styleId="Default">
    <w:name w:val="Default"/>
    <w:rsid w:val="008D25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ageNumber">
    <w:name w:val="page number"/>
    <w:basedOn w:val="DefaultParagraphFont"/>
    <w:rsid w:val="008D25DC"/>
  </w:style>
  <w:style w:type="table" w:styleId="TableGrid">
    <w:name w:val="Table Grid"/>
    <w:basedOn w:val="TableNormal"/>
    <w:uiPriority w:val="39"/>
    <w:rsid w:val="008D25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6D5"/>
    <w:rPr>
      <w:sz w:val="16"/>
      <w:szCs w:val="16"/>
    </w:rPr>
  </w:style>
  <w:style w:type="paragraph" w:styleId="CommentText">
    <w:name w:val="annotation text"/>
    <w:basedOn w:val="Normal"/>
    <w:link w:val="CommentTextChar"/>
    <w:uiPriority w:val="99"/>
    <w:semiHidden/>
    <w:unhideWhenUsed/>
    <w:rsid w:val="002676D5"/>
    <w:pPr>
      <w:spacing w:after="16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676D5"/>
    <w:rPr>
      <w:sz w:val="20"/>
      <w:szCs w:val="20"/>
    </w:rPr>
  </w:style>
  <w:style w:type="paragraph" w:styleId="CommentSubject">
    <w:name w:val="annotation subject"/>
    <w:basedOn w:val="CommentText"/>
    <w:next w:val="CommentText"/>
    <w:link w:val="CommentSubjectChar"/>
    <w:uiPriority w:val="99"/>
    <w:semiHidden/>
    <w:unhideWhenUsed/>
    <w:rsid w:val="002676D5"/>
    <w:rPr>
      <w:b/>
      <w:bCs/>
    </w:rPr>
  </w:style>
  <w:style w:type="character" w:customStyle="1" w:styleId="CommentSubjectChar">
    <w:name w:val="Comment Subject Char"/>
    <w:basedOn w:val="CommentTextChar"/>
    <w:link w:val="CommentSubject"/>
    <w:uiPriority w:val="99"/>
    <w:semiHidden/>
    <w:rsid w:val="002676D5"/>
    <w:rPr>
      <w:b/>
      <w:bCs/>
      <w:sz w:val="20"/>
      <w:szCs w:val="20"/>
    </w:rPr>
  </w:style>
  <w:style w:type="paragraph" w:styleId="BalloonText">
    <w:name w:val="Balloon Text"/>
    <w:basedOn w:val="Normal"/>
    <w:link w:val="BalloonTextChar"/>
    <w:uiPriority w:val="99"/>
    <w:semiHidden/>
    <w:unhideWhenUsed/>
    <w:rsid w:val="002676D5"/>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2676D5"/>
    <w:rPr>
      <w:rFonts w:ascii="Segoe UI" w:hAnsi="Segoe UI" w:cs="Segoe UI"/>
      <w:sz w:val="18"/>
      <w:szCs w:val="18"/>
    </w:rPr>
  </w:style>
  <w:style w:type="character" w:customStyle="1" w:styleId="A3">
    <w:name w:val="A3"/>
    <w:uiPriority w:val="99"/>
    <w:rsid w:val="00F21100"/>
    <w:rPr>
      <w:rFonts w:cs="HelveticaNeueLT Pro 55 Roman"/>
      <w:color w:val="000000"/>
      <w:sz w:val="20"/>
      <w:szCs w:val="20"/>
    </w:rPr>
  </w:style>
  <w:style w:type="character" w:customStyle="1" w:styleId="A1">
    <w:name w:val="A1"/>
    <w:uiPriority w:val="99"/>
    <w:rsid w:val="00F21100"/>
    <w:rPr>
      <w:rFonts w:cs="HelveticaNeueLT Pro 55 Roman"/>
      <w:b/>
      <w:bCs/>
      <w:color w:val="000000"/>
      <w:sz w:val="64"/>
      <w:szCs w:val="64"/>
    </w:rPr>
  </w:style>
  <w:style w:type="character" w:styleId="UnresolvedMention">
    <w:name w:val="Unresolved Mention"/>
    <w:basedOn w:val="DefaultParagraphFont"/>
    <w:uiPriority w:val="99"/>
    <w:unhideWhenUsed/>
    <w:rsid w:val="00C158F3"/>
    <w:rPr>
      <w:color w:val="605E5C"/>
      <w:shd w:val="clear" w:color="auto" w:fill="E1DFDD"/>
    </w:rPr>
  </w:style>
  <w:style w:type="character" w:styleId="Mention">
    <w:name w:val="Mention"/>
    <w:basedOn w:val="DefaultParagraphFont"/>
    <w:uiPriority w:val="99"/>
    <w:unhideWhenUsed/>
    <w:rsid w:val="00C158F3"/>
    <w:rPr>
      <w:color w:val="2B579A"/>
      <w:shd w:val="clear" w:color="auto" w:fill="E1DFDD"/>
    </w:rPr>
  </w:style>
  <w:style w:type="character" w:customStyle="1" w:styleId="BodytextBold">
    <w:name w:val="Body text + Bold"/>
    <w:aliases w:val="Spacing 0 pt"/>
    <w:basedOn w:val="DefaultParagraphFont"/>
    <w:rsid w:val="00485B36"/>
    <w:rPr>
      <w:rFonts w:ascii="Times New Roman" w:hAnsi="Times New Roman" w:cs="Times New Roman"/>
      <w:b/>
      <w:bCs/>
      <w:sz w:val="27"/>
      <w:szCs w:val="27"/>
      <w:shd w:val="clear" w:color="auto" w:fill="FFFFFF"/>
    </w:rPr>
  </w:style>
  <w:style w:type="paragraph" w:customStyle="1" w:styleId="TitleStyle">
    <w:name w:val="TitleStyle"/>
    <w:rsid w:val="00485B36"/>
    <w:pPr>
      <w:spacing w:after="200" w:line="240" w:lineRule="auto"/>
    </w:pPr>
    <w:rPr>
      <w:rFonts w:ascii="Times New Roman" w:eastAsia="Times New Roman" w:hAnsi="Times New Roman" w:cs="Times New Roman"/>
      <w:b/>
      <w:color w:val="000000" w:themeColor="text1"/>
      <w:lang w:val="pl-PL"/>
    </w:rPr>
  </w:style>
  <w:style w:type="paragraph" w:styleId="Revision">
    <w:name w:val="Revision"/>
    <w:hidden/>
    <w:uiPriority w:val="99"/>
    <w:semiHidden/>
    <w:rsid w:val="00D30545"/>
    <w:pPr>
      <w:spacing w:after="0" w:line="240" w:lineRule="auto"/>
    </w:pPr>
  </w:style>
  <w:style w:type="character" w:customStyle="1" w:styleId="Heading3Char">
    <w:name w:val="Heading 3 Char"/>
    <w:basedOn w:val="DefaultParagraphFont"/>
    <w:link w:val="Heading3"/>
    <w:uiPriority w:val="9"/>
    <w:rsid w:val="00616041"/>
    <w:rPr>
      <w:rFonts w:ascii="Times New Roman" w:eastAsia="Times New Roman" w:hAnsi="Times New Roman" w:cs="Times New Roman"/>
      <w:b/>
      <w:bCs/>
      <w:sz w:val="27"/>
      <w:szCs w:val="27"/>
      <w:lang w:eastAsia="en-GB"/>
    </w:rPr>
  </w:style>
  <w:style w:type="character" w:customStyle="1" w:styleId="go">
    <w:name w:val="go"/>
    <w:basedOn w:val="DefaultParagraphFont"/>
    <w:rsid w:val="00616041"/>
  </w:style>
  <w:style w:type="paragraph" w:styleId="NormalWeb">
    <w:name w:val="Normal (Web)"/>
    <w:basedOn w:val="Normal"/>
    <w:uiPriority w:val="99"/>
    <w:unhideWhenUsed/>
    <w:rsid w:val="006A1C47"/>
    <w:pPr>
      <w:spacing w:before="100" w:beforeAutospacing="1" w:after="100" w:afterAutospacing="1"/>
    </w:pPr>
  </w:style>
  <w:style w:type="character" w:customStyle="1" w:styleId="alb">
    <w:name w:val="a_lb"/>
    <w:basedOn w:val="DefaultParagraphFont"/>
    <w:rsid w:val="00B6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0061">
      <w:bodyDiv w:val="1"/>
      <w:marLeft w:val="0"/>
      <w:marRight w:val="0"/>
      <w:marTop w:val="0"/>
      <w:marBottom w:val="0"/>
      <w:divBdr>
        <w:top w:val="none" w:sz="0" w:space="0" w:color="auto"/>
        <w:left w:val="none" w:sz="0" w:space="0" w:color="auto"/>
        <w:bottom w:val="none" w:sz="0" w:space="0" w:color="auto"/>
        <w:right w:val="none" w:sz="0" w:space="0" w:color="auto"/>
      </w:divBdr>
      <w:divsChild>
        <w:div w:id="2006589436">
          <w:marLeft w:val="0"/>
          <w:marRight w:val="0"/>
          <w:marTop w:val="0"/>
          <w:marBottom w:val="0"/>
          <w:divBdr>
            <w:top w:val="none" w:sz="0" w:space="0" w:color="auto"/>
            <w:left w:val="none" w:sz="0" w:space="0" w:color="auto"/>
            <w:bottom w:val="none" w:sz="0" w:space="0" w:color="auto"/>
            <w:right w:val="none" w:sz="0" w:space="0" w:color="auto"/>
          </w:divBdr>
          <w:divsChild>
            <w:div w:id="194273553">
              <w:marLeft w:val="0"/>
              <w:marRight w:val="0"/>
              <w:marTop w:val="0"/>
              <w:marBottom w:val="0"/>
              <w:divBdr>
                <w:top w:val="none" w:sz="0" w:space="0" w:color="auto"/>
                <w:left w:val="none" w:sz="0" w:space="0" w:color="auto"/>
                <w:bottom w:val="none" w:sz="0" w:space="0" w:color="auto"/>
                <w:right w:val="none" w:sz="0" w:space="0" w:color="auto"/>
              </w:divBdr>
              <w:divsChild>
                <w:div w:id="5070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6079">
      <w:bodyDiv w:val="1"/>
      <w:marLeft w:val="0"/>
      <w:marRight w:val="0"/>
      <w:marTop w:val="0"/>
      <w:marBottom w:val="0"/>
      <w:divBdr>
        <w:top w:val="none" w:sz="0" w:space="0" w:color="auto"/>
        <w:left w:val="none" w:sz="0" w:space="0" w:color="auto"/>
        <w:bottom w:val="none" w:sz="0" w:space="0" w:color="auto"/>
        <w:right w:val="none" w:sz="0" w:space="0" w:color="auto"/>
      </w:divBdr>
    </w:div>
    <w:div w:id="770588427">
      <w:bodyDiv w:val="1"/>
      <w:marLeft w:val="0"/>
      <w:marRight w:val="0"/>
      <w:marTop w:val="0"/>
      <w:marBottom w:val="0"/>
      <w:divBdr>
        <w:top w:val="none" w:sz="0" w:space="0" w:color="auto"/>
        <w:left w:val="none" w:sz="0" w:space="0" w:color="auto"/>
        <w:bottom w:val="none" w:sz="0" w:space="0" w:color="auto"/>
        <w:right w:val="none" w:sz="0" w:space="0" w:color="auto"/>
      </w:divBdr>
    </w:div>
    <w:div w:id="909117443">
      <w:bodyDiv w:val="1"/>
      <w:marLeft w:val="0"/>
      <w:marRight w:val="0"/>
      <w:marTop w:val="0"/>
      <w:marBottom w:val="0"/>
      <w:divBdr>
        <w:top w:val="none" w:sz="0" w:space="0" w:color="auto"/>
        <w:left w:val="none" w:sz="0" w:space="0" w:color="auto"/>
        <w:bottom w:val="none" w:sz="0" w:space="0" w:color="auto"/>
        <w:right w:val="none" w:sz="0" w:space="0" w:color="auto"/>
      </w:divBdr>
    </w:div>
    <w:div w:id="1018043442">
      <w:bodyDiv w:val="1"/>
      <w:marLeft w:val="0"/>
      <w:marRight w:val="0"/>
      <w:marTop w:val="0"/>
      <w:marBottom w:val="0"/>
      <w:divBdr>
        <w:top w:val="none" w:sz="0" w:space="0" w:color="auto"/>
        <w:left w:val="none" w:sz="0" w:space="0" w:color="auto"/>
        <w:bottom w:val="none" w:sz="0" w:space="0" w:color="auto"/>
        <w:right w:val="none" w:sz="0" w:space="0" w:color="auto"/>
      </w:divBdr>
    </w:div>
    <w:div w:id="18473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ntact.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ntact.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ntact.r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nta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F5C1E58EF9A4DBA3E86653C451084" ma:contentTypeVersion="2" ma:contentTypeDescription="Create a new document." ma:contentTypeScope="" ma:versionID="55b93b0df41988298025dc0b6020dc5c">
  <xsd:schema xmlns:xsd="http://www.w3.org/2001/XMLSchema" xmlns:xs="http://www.w3.org/2001/XMLSchema" xmlns:p="http://schemas.microsoft.com/office/2006/metadata/properties" xmlns:ns2="0bd4d333-12ea-47a1-9b43-88ae5824c269" targetNamespace="http://schemas.microsoft.com/office/2006/metadata/properties" ma:root="true" ma:fieldsID="0c510d653f8e62a600901b3be22666f8" ns2:_="">
    <xsd:import namespace="0bd4d333-12ea-47a1-9b43-88ae5824c2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4d333-12ea-47a1-9b43-88ae5824c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5EBCA-9D07-4F25-96DA-F6B7E903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4d333-12ea-47a1-9b43-88ae5824c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4AB5D-A39A-4620-BD2A-337AF033308E}">
  <ds:schemaRefs>
    <ds:schemaRef ds:uri="http://schemas.microsoft.com/sharepoint/v3/contenttype/forms"/>
  </ds:schemaRefs>
</ds:datastoreItem>
</file>

<file path=customXml/itemProps3.xml><?xml version="1.0" encoding="utf-8"?>
<ds:datastoreItem xmlns:ds="http://schemas.openxmlformats.org/officeDocument/2006/customXml" ds:itemID="{5F644549-D6CE-443F-AEEA-7D7448ACD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2021-11-10T09:25:00Z</cp:lastPrinted>
  <dcterms:created xsi:type="dcterms:W3CDTF">2022-04-14T06:29:00Z</dcterms:created>
  <dcterms:modified xsi:type="dcterms:W3CDTF">2022-04-14T06:29:00Z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0x010100561F5C1E58EF9A4DBA3E86653C451084</vt:lpwstr>
  </property>
</Properties>
</file>