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20" w:rsidRDefault="00BF0220" w:rsidP="00827018">
      <w:pPr>
        <w:spacing w:after="0"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3913E1" w:rsidRPr="0085302E" w:rsidRDefault="003913E1" w:rsidP="008270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39BF" w:rsidRPr="0085302E" w:rsidRDefault="00166095" w:rsidP="0040336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02E">
        <w:rPr>
          <w:rFonts w:ascii="Times New Roman" w:hAnsi="Times New Roman"/>
          <w:b/>
          <w:bCs/>
          <w:sz w:val="24"/>
          <w:szCs w:val="24"/>
        </w:rPr>
        <w:t>INFORMARE</w:t>
      </w:r>
    </w:p>
    <w:p w:rsidR="00403360" w:rsidRPr="0085302E" w:rsidRDefault="00403360" w:rsidP="0040336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02E">
        <w:rPr>
          <w:rFonts w:ascii="Times New Roman" w:hAnsi="Times New Roman"/>
          <w:b/>
          <w:bCs/>
          <w:sz w:val="24"/>
          <w:szCs w:val="24"/>
        </w:rPr>
        <w:t xml:space="preserve">privind tarifele reglementate </w:t>
      </w:r>
      <w:r w:rsidR="00316B09">
        <w:rPr>
          <w:rFonts w:ascii="Times New Roman" w:hAnsi="Times New Roman"/>
          <w:b/>
          <w:bCs/>
          <w:sz w:val="24"/>
          <w:szCs w:val="24"/>
        </w:rPr>
        <w:t>ș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85302E">
        <w:rPr>
          <w:rFonts w:ascii="Times New Roman" w:hAnsi="Times New Roman"/>
          <w:b/>
          <w:bCs/>
          <w:sz w:val="24"/>
          <w:szCs w:val="24"/>
        </w:rPr>
        <w:t xml:space="preserve">componentele acestora aplicate </w:t>
      </w:r>
      <w:r w:rsidR="00166095" w:rsidRPr="0085302E">
        <w:rPr>
          <w:rFonts w:ascii="Times New Roman" w:hAnsi="Times New Roman"/>
          <w:b/>
          <w:bCs/>
          <w:sz w:val="24"/>
          <w:szCs w:val="24"/>
        </w:rPr>
        <w:t xml:space="preserve">pentru perioada </w:t>
      </w:r>
      <w:r w:rsidRPr="0085302E">
        <w:rPr>
          <w:rFonts w:ascii="Times New Roman" w:hAnsi="Times New Roman"/>
          <w:b/>
          <w:bCs/>
          <w:sz w:val="24"/>
          <w:szCs w:val="24"/>
        </w:rPr>
        <w:t>1 ianuarie 2020</w:t>
      </w:r>
      <w:r w:rsidR="00316B09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166095" w:rsidRPr="0085302E">
        <w:rPr>
          <w:rFonts w:ascii="Times New Roman" w:hAnsi="Times New Roman"/>
          <w:b/>
          <w:bCs/>
          <w:sz w:val="24"/>
          <w:szCs w:val="24"/>
        </w:rPr>
        <w:t xml:space="preserve"> 30 iunie 2020</w:t>
      </w:r>
      <w:r w:rsidR="00316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302E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>c</w:t>
      </w:r>
      <w:r w:rsidR="00316B09">
        <w:rPr>
          <w:rFonts w:ascii="Times New Roman" w:hAnsi="Times New Roman"/>
          <w:b/>
          <w:bCs/>
          <w:sz w:val="24"/>
          <w:szCs w:val="24"/>
        </w:rPr>
        <w:t>ă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 xml:space="preserve">tre </w:t>
      </w:r>
      <w:r w:rsidRPr="0085302E">
        <w:rPr>
          <w:rFonts w:ascii="Times New Roman" w:hAnsi="Times New Roman"/>
          <w:b/>
          <w:bCs/>
          <w:sz w:val="24"/>
          <w:szCs w:val="24"/>
        </w:rPr>
        <w:t xml:space="preserve">furnizorii de 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>ultim</w:t>
      </w:r>
      <w:r w:rsidR="00316B09">
        <w:rPr>
          <w:rFonts w:ascii="Times New Roman" w:hAnsi="Times New Roman"/>
          <w:b/>
          <w:bCs/>
          <w:sz w:val="24"/>
          <w:szCs w:val="24"/>
        </w:rPr>
        <w:t>ă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 xml:space="preserve"> instan</w:t>
      </w:r>
      <w:r w:rsidR="00316B09">
        <w:rPr>
          <w:rFonts w:ascii="Times New Roman" w:hAnsi="Times New Roman"/>
          <w:b/>
          <w:bCs/>
          <w:sz w:val="24"/>
          <w:szCs w:val="24"/>
        </w:rPr>
        <w:t>ță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 xml:space="preserve"> obliga</w:t>
      </w:r>
      <w:r w:rsidR="00316B09">
        <w:rPr>
          <w:rFonts w:ascii="Times New Roman" w:hAnsi="Times New Roman"/>
          <w:b/>
          <w:bCs/>
          <w:sz w:val="24"/>
          <w:szCs w:val="24"/>
        </w:rPr>
        <w:t>ț</w:t>
      </w:r>
      <w:r w:rsidR="00316B09" w:rsidRPr="0085302E">
        <w:rPr>
          <w:rFonts w:ascii="Times New Roman" w:hAnsi="Times New Roman"/>
          <w:b/>
          <w:bCs/>
          <w:sz w:val="24"/>
          <w:szCs w:val="24"/>
        </w:rPr>
        <w:t>i</w:t>
      </w:r>
    </w:p>
    <w:p w:rsidR="007839BF" w:rsidRPr="0085302E" w:rsidRDefault="007839BF" w:rsidP="008270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39BF" w:rsidRPr="00882AE4" w:rsidRDefault="007839BF" w:rsidP="008270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360" w:rsidRPr="0085302E" w:rsidRDefault="00166095" w:rsidP="00166095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85302E">
        <w:rPr>
          <w:b/>
          <w:bCs/>
          <w:sz w:val="24"/>
          <w:szCs w:val="24"/>
        </w:rPr>
        <w:t>Legisla</w:t>
      </w:r>
      <w:proofErr w:type="spellEnd"/>
      <w:r w:rsidRPr="0085302E">
        <w:rPr>
          <w:b/>
          <w:bCs/>
          <w:sz w:val="24"/>
          <w:szCs w:val="24"/>
          <w:lang w:val="ro-RO"/>
        </w:rPr>
        <w:t>ția aplicabil</w:t>
      </w:r>
      <w:r w:rsidR="00316B09">
        <w:rPr>
          <w:b/>
          <w:bCs/>
          <w:sz w:val="24"/>
          <w:szCs w:val="24"/>
          <w:lang w:val="ro-RO"/>
        </w:rPr>
        <w:t>ă</w:t>
      </w:r>
    </w:p>
    <w:p w:rsidR="00316B09" w:rsidRDefault="00316B09" w:rsidP="0085302E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85302E">
        <w:rPr>
          <w:rFonts w:ascii="Times New Roman" w:hAnsi="Times New Roman"/>
          <w:bCs/>
          <w:sz w:val="24"/>
          <w:szCs w:val="24"/>
        </w:rPr>
        <w:t>Tarifele reglementate aplicate pentru perioada 1 ianuarie 2020 – 30 iunie 2020 de către furnizorii de ultimă instanță obligați au fost calculate în baza Metodologiei de stabilire a tarifelor reglementate și a prețurilor aplicate de furnizorii de ultimă instanță clienților finali aprobată prin ordinul președintelui ANRE nr. 217/2019 (Metodologie)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15A0C" w:rsidRPr="00BA024E" w:rsidRDefault="00715A0C" w:rsidP="0085302E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Conform prevederilor art. 5 alin. (2) din Metodologie, t</w:t>
      </w:r>
      <w:r w:rsidRPr="00AD2E10">
        <w:rPr>
          <w:rFonts w:ascii="Times New Roman" w:hAnsi="Times New Roman"/>
          <w:sz w:val="24"/>
          <w:szCs w:val="24"/>
        </w:rPr>
        <w:t xml:space="preserve">arifele </w:t>
      </w:r>
      <w:r>
        <w:rPr>
          <w:rFonts w:ascii="Times New Roman" w:hAnsi="Times New Roman"/>
          <w:sz w:val="24"/>
          <w:szCs w:val="24"/>
        </w:rPr>
        <w:t xml:space="preserve">nominale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n,i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</m:oMath>
      <w:r>
        <w:rPr>
          <w:rFonts w:ascii="Times New Roman" w:hAnsi="Times New Roman"/>
          <w:sz w:val="24"/>
          <w:szCs w:val="24"/>
        </w:rPr>
        <w:t xml:space="preserve"> </w:t>
      </w:r>
      <w:r w:rsidRPr="00AD2E10">
        <w:rPr>
          <w:rFonts w:ascii="Times New Roman" w:hAnsi="Times New Roman"/>
          <w:sz w:val="24"/>
          <w:szCs w:val="24"/>
        </w:rPr>
        <w:t xml:space="preserve">se determină </w:t>
      </w:r>
      <w:r>
        <w:rPr>
          <w:rFonts w:ascii="Times New Roman" w:hAnsi="Times New Roman"/>
          <w:sz w:val="24"/>
          <w:szCs w:val="24"/>
        </w:rPr>
        <w:t>pentru fiecare FUI pe zonă de rețea</w:t>
      </w:r>
      <w:r w:rsidRPr="00AD2E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cu următoarea formulă</w:t>
      </w:r>
      <w:r w:rsidRPr="00AD2E10">
        <w:rPr>
          <w:rFonts w:ascii="Times New Roman" w:hAnsi="Times New Roman"/>
          <w:sz w:val="24"/>
          <w:szCs w:val="24"/>
        </w:rPr>
        <w:t>:</w:t>
      </w:r>
    </w:p>
    <w:p w:rsidR="00715A0C" w:rsidRPr="004A0563" w:rsidRDefault="00856D04" w:rsidP="00715A0C">
      <w:pPr>
        <w:pStyle w:val="ListParagraph"/>
        <w:widowControl w:val="0"/>
        <w:spacing w:after="120" w:line="360" w:lineRule="auto"/>
        <w:jc w:val="center"/>
        <w:outlineLvl w:val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n,i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a,i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fa,i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aj</m:t>
                  </m:r>
                </m:sub>
                <m:sup>
                  <m:r>
                    <w:rPr>
                      <w:rFonts w:ascii="Cambria Math" w:hAnsi="Cambria Math"/>
                    </w:rPr>
                    <m:t>TR</m:t>
                  </m:r>
                </m:sup>
              </m:sSubSup>
              <m:r>
                <w:rPr>
                  <w:rFonts w:ascii="Cambria Math" w:hAnsi="Cambria Math"/>
                </w:rPr>
                <m:t>+T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SS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D,i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+ C</m:t>
              </m:r>
            </m:e>
            <m:sub>
              <m:r>
                <w:rPr>
                  <w:rFonts w:ascii="Cambria Math" w:hAnsi="Cambria Math"/>
                </w:rPr>
                <m:t>pc</m:t>
              </m:r>
            </m:sub>
            <m:sup>
              <m:r>
                <w:rPr>
                  <w:rFonts w:ascii="Cambria Math" w:hAnsi="Cambria Math"/>
                </w:rPr>
                <m:t>TR</m:t>
              </m:r>
            </m:sup>
          </m:sSubSup>
        </m:oMath>
      </m:oMathPara>
    </w:p>
    <w:p w:rsidR="00715A0C" w:rsidRPr="00A67578" w:rsidRDefault="00715A0C" w:rsidP="00715A0C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67578">
        <w:rPr>
          <w:rFonts w:ascii="Times New Roman" w:hAnsi="Times New Roman"/>
          <w:sz w:val="24"/>
          <w:szCs w:val="24"/>
        </w:rPr>
        <w:t xml:space="preserve">unde: </w:t>
      </w:r>
    </w:p>
    <w:p w:rsidR="00715A0C" w:rsidRPr="00A67578" w:rsidRDefault="00856D04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a,i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TR</m:t>
            </m:r>
          </m:sup>
        </m:sSubSup>
      </m:oMath>
      <w:r w:rsidR="00715A0C" w:rsidRPr="00A67578">
        <w:rPr>
          <w:rFonts w:ascii="Times New Roman" w:hAnsi="Times New Roman"/>
          <w:sz w:val="24"/>
          <w:szCs w:val="24"/>
        </w:rPr>
        <w:t>– componenta de achiziție a energiei electrice</w:t>
      </w:r>
      <w:r w:rsidR="00715A0C">
        <w:rPr>
          <w:rFonts w:ascii="Times New Roman" w:hAnsi="Times New Roman"/>
          <w:sz w:val="24"/>
          <w:szCs w:val="24"/>
        </w:rPr>
        <w:t>,</w:t>
      </w:r>
      <w:r w:rsidR="00715A0C" w:rsidRPr="00A67578">
        <w:rPr>
          <w:rFonts w:ascii="Times New Roman" w:hAnsi="Times New Roman"/>
          <w:sz w:val="24"/>
          <w:szCs w:val="24"/>
        </w:rPr>
        <w:t xml:space="preserve"> </w:t>
      </w:r>
      <w:r w:rsidR="00715A0C">
        <w:rPr>
          <w:rFonts w:ascii="Times New Roman" w:hAnsi="Times New Roman"/>
          <w:sz w:val="24"/>
          <w:szCs w:val="24"/>
        </w:rPr>
        <w:t xml:space="preserve">care </w:t>
      </w:r>
      <w:r w:rsidR="00715A0C" w:rsidRPr="00A67578">
        <w:rPr>
          <w:rFonts w:ascii="Times New Roman" w:hAnsi="Times New Roman"/>
          <w:sz w:val="24"/>
          <w:szCs w:val="24"/>
        </w:rPr>
        <w:t>include costul serviciului de transport</w:t>
      </w:r>
      <w:r w:rsidR="00715A0C">
        <w:rPr>
          <w:rFonts w:ascii="Times New Roman" w:hAnsi="Times New Roman"/>
          <w:sz w:val="24"/>
          <w:szCs w:val="24"/>
        </w:rPr>
        <w:t xml:space="preserve"> - </w:t>
      </w:r>
      <w:r w:rsidR="00715A0C" w:rsidRPr="00A67578">
        <w:rPr>
          <w:rFonts w:ascii="Times New Roman" w:hAnsi="Times New Roman"/>
          <w:sz w:val="24"/>
          <w:szCs w:val="24"/>
        </w:rPr>
        <w:t xml:space="preserve"> componenta de introducere a energiei electrice în rețea [lei/MWh];</w:t>
      </w:r>
    </w:p>
    <w:p w:rsidR="00715A0C" w:rsidRPr="00A67578" w:rsidRDefault="00856D04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fa,i</m:t>
            </m:r>
          </m:sub>
          <m:sup>
            <m:r>
              <w:rPr>
                <w:rFonts w:ascii="Cambria Math" w:hAnsi="Cambria Math"/>
                <w:lang w:val="en-US"/>
              </w:rPr>
              <m:t>TR</m:t>
            </m:r>
          </m:sup>
        </m:sSubSup>
      </m:oMath>
      <w:r w:rsidR="00715A0C" w:rsidRPr="00A67578">
        <w:rPr>
          <w:rFonts w:ascii="Times New Roman" w:hAnsi="Times New Roman"/>
          <w:sz w:val="24"/>
          <w:szCs w:val="24"/>
        </w:rPr>
        <w:t xml:space="preserve"> - componenta de furnizare a energiei electrice</w:t>
      </w:r>
      <w:r w:rsidR="00715A0C">
        <w:rPr>
          <w:rFonts w:ascii="Times New Roman" w:hAnsi="Times New Roman"/>
          <w:sz w:val="24"/>
          <w:szCs w:val="24"/>
        </w:rPr>
        <w:t>, care include costul activității de furnizare ș</w:t>
      </w:r>
      <w:r w:rsidR="00715A0C" w:rsidRPr="00A41F89">
        <w:rPr>
          <w:rFonts w:ascii="Times New Roman" w:hAnsi="Times New Roman"/>
          <w:sz w:val="24"/>
          <w:szCs w:val="24"/>
        </w:rPr>
        <w:t>i profitul [lei/MWh];</w:t>
      </w:r>
    </w:p>
    <w:p w:rsidR="00715A0C" w:rsidRPr="00A67578" w:rsidRDefault="00856D04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lang w:val="en-US"/>
              </w:rPr>
              <m:t>j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TR</m:t>
            </m:r>
          </m:sup>
        </m:sSubSup>
      </m:oMath>
      <w:r w:rsidR="00715A0C" w:rsidRPr="00A67578">
        <w:rPr>
          <w:rFonts w:ascii="Times New Roman" w:hAnsi="Times New Roman"/>
          <w:sz w:val="24"/>
          <w:szCs w:val="24"/>
        </w:rPr>
        <w:t xml:space="preserve"> – componenta de ajustare [lei/MWh];</w:t>
      </w:r>
    </w:p>
    <w:p w:rsidR="00715A0C" w:rsidRPr="00A67578" w:rsidRDefault="00856D04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TR</m:t>
            </m:r>
          </m:sup>
        </m:sSubSup>
      </m:oMath>
      <w:r w:rsidR="00715A0C" w:rsidRPr="00A67578">
        <w:rPr>
          <w:rFonts w:ascii="Times New Roman" w:hAnsi="Times New Roman"/>
          <w:sz w:val="24"/>
          <w:szCs w:val="24"/>
        </w:rPr>
        <w:t xml:space="preserve">- tariful </w:t>
      </w:r>
      <w:r w:rsidR="00715A0C">
        <w:rPr>
          <w:rFonts w:ascii="Times New Roman" w:hAnsi="Times New Roman"/>
          <w:sz w:val="24"/>
          <w:szCs w:val="24"/>
        </w:rPr>
        <w:t xml:space="preserve">pentru </w:t>
      </w:r>
      <w:r w:rsidR="00715A0C" w:rsidRPr="00A67578">
        <w:rPr>
          <w:rFonts w:ascii="Times New Roman" w:hAnsi="Times New Roman"/>
          <w:sz w:val="24"/>
          <w:szCs w:val="24"/>
        </w:rPr>
        <w:t>serviciul de transport</w:t>
      </w:r>
      <w:r w:rsidR="00715A0C">
        <w:rPr>
          <w:rFonts w:ascii="Times New Roman" w:hAnsi="Times New Roman"/>
          <w:sz w:val="24"/>
          <w:szCs w:val="24"/>
        </w:rPr>
        <w:t>,</w:t>
      </w:r>
      <w:r w:rsidR="00715A0C" w:rsidRPr="00A67578">
        <w:rPr>
          <w:rFonts w:ascii="Times New Roman" w:hAnsi="Times New Roman"/>
          <w:sz w:val="24"/>
          <w:szCs w:val="24"/>
        </w:rPr>
        <w:t xml:space="preserve"> componenta de extragere [lei/MWh];</w:t>
      </w:r>
    </w:p>
    <w:p w:rsidR="00715A0C" w:rsidRPr="00A67578" w:rsidRDefault="00715A0C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7578">
        <w:rPr>
          <w:rFonts w:ascii="Times New Roman" w:hAnsi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SS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TR</m:t>
            </m:r>
          </m:sup>
        </m:sSubSup>
      </m:oMath>
      <w:r w:rsidRPr="00A67578">
        <w:rPr>
          <w:rFonts w:ascii="Times New Roman" w:hAnsi="Times New Roman"/>
          <w:sz w:val="24"/>
          <w:szCs w:val="24"/>
        </w:rPr>
        <w:t>- tariful pentru serviciul de sistem [lei/MWh];</w:t>
      </w:r>
    </w:p>
    <w:p w:rsidR="00715A0C" w:rsidRPr="00A67578" w:rsidRDefault="00715A0C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7578">
        <w:rPr>
          <w:rFonts w:ascii="Times New Roman" w:hAnsi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D,i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TR</m:t>
            </m:r>
          </m:sup>
        </m:sSubSup>
      </m:oMath>
      <w:r w:rsidRPr="00A67578">
        <w:rPr>
          <w:rFonts w:ascii="Times New Roman" w:hAnsi="Times New Roman"/>
          <w:sz w:val="24"/>
          <w:szCs w:val="24"/>
        </w:rPr>
        <w:t xml:space="preserve">- tariful pentru serviciul de distribuţie </w:t>
      </w:r>
      <w:r>
        <w:rPr>
          <w:rFonts w:ascii="Times New Roman" w:hAnsi="Times New Roman"/>
          <w:sz w:val="24"/>
          <w:szCs w:val="24"/>
        </w:rPr>
        <w:t xml:space="preserve">aferent zonei de rețea i și nivelului de tensiune </w:t>
      </w:r>
      <w:r w:rsidRPr="00A67578">
        <w:rPr>
          <w:rFonts w:ascii="Times New Roman" w:hAnsi="Times New Roman"/>
          <w:sz w:val="24"/>
          <w:szCs w:val="24"/>
        </w:rPr>
        <w:t>[lei/MWh];</w:t>
      </w:r>
    </w:p>
    <w:p w:rsidR="00715A0C" w:rsidRPr="00A67578" w:rsidRDefault="00856D04" w:rsidP="00715A0C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pc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</m:oMath>
      <w:r w:rsidR="00715A0C" w:rsidRPr="00A67578">
        <w:rPr>
          <w:rFonts w:ascii="Times New Roman" w:hAnsi="Times New Roman"/>
        </w:rPr>
        <w:t xml:space="preserve"> – </w:t>
      </w:r>
      <w:r w:rsidR="00715A0C" w:rsidRPr="00A67578">
        <w:rPr>
          <w:rFonts w:ascii="Times New Roman" w:hAnsi="Times New Roman"/>
          <w:sz w:val="24"/>
          <w:szCs w:val="24"/>
        </w:rPr>
        <w:t>costul previzionat al participării pe PC [lei/MWh];</w:t>
      </w:r>
    </w:p>
    <w:p w:rsidR="00715A0C" w:rsidRDefault="00715A0C" w:rsidP="00715A0C">
      <w:pPr>
        <w:pStyle w:val="ListParagraph"/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A67578">
        <w:rPr>
          <w:sz w:val="24"/>
          <w:szCs w:val="24"/>
        </w:rPr>
        <w:t>i</w:t>
      </w:r>
      <w:proofErr w:type="spellEnd"/>
      <w:r w:rsidRPr="00A67578">
        <w:rPr>
          <w:sz w:val="24"/>
          <w:szCs w:val="24"/>
        </w:rPr>
        <w:t xml:space="preserve"> – </w:t>
      </w:r>
      <w:proofErr w:type="spellStart"/>
      <w:r w:rsidRPr="00A67578">
        <w:rPr>
          <w:sz w:val="24"/>
          <w:szCs w:val="24"/>
        </w:rPr>
        <w:t>zonă</w:t>
      </w:r>
      <w:proofErr w:type="spellEnd"/>
      <w:r w:rsidRPr="00A67578">
        <w:rPr>
          <w:sz w:val="24"/>
          <w:szCs w:val="24"/>
        </w:rPr>
        <w:t xml:space="preserve"> de </w:t>
      </w:r>
      <w:proofErr w:type="spellStart"/>
      <w:r w:rsidRPr="00A67578">
        <w:rPr>
          <w:sz w:val="24"/>
          <w:szCs w:val="24"/>
        </w:rPr>
        <w:t>reţea</w:t>
      </w:r>
      <w:proofErr w:type="spellEnd"/>
      <w:r>
        <w:rPr>
          <w:sz w:val="24"/>
          <w:szCs w:val="24"/>
        </w:rPr>
        <w:t>.</w:t>
      </w:r>
    </w:p>
    <w:p w:rsidR="00166095" w:rsidRDefault="002E1661" w:rsidP="0085302E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5302E">
        <w:rPr>
          <w:rFonts w:ascii="Times New Roman" w:hAnsi="Times New Roman"/>
          <w:bCs/>
          <w:sz w:val="24"/>
          <w:szCs w:val="24"/>
        </w:rPr>
        <w:lastRenderedPageBreak/>
        <w:t xml:space="preserve">Pentru calculul tarifelor reglementate au fost luate în considerare informațiile </w:t>
      </w:r>
      <w:r w:rsidR="00715A0C" w:rsidRPr="0085302E">
        <w:rPr>
          <w:rFonts w:ascii="Times New Roman" w:hAnsi="Times New Roman"/>
          <w:bCs/>
          <w:sz w:val="24"/>
          <w:szCs w:val="24"/>
        </w:rPr>
        <w:t>transmise de către furnizorii de ultimă instanță</w:t>
      </w:r>
      <w:r w:rsidRPr="0085302E">
        <w:rPr>
          <w:rFonts w:ascii="Times New Roman" w:hAnsi="Times New Roman"/>
          <w:bCs/>
          <w:sz w:val="24"/>
          <w:szCs w:val="24"/>
        </w:rPr>
        <w:t xml:space="preserve"> cu privire la numărul de locuri de consum </w:t>
      </w:r>
      <w:r w:rsidRPr="00641C78">
        <w:rPr>
          <w:rFonts w:ascii="Times New Roman" w:hAnsi="Times New Roman"/>
          <w:bCs/>
          <w:sz w:val="24"/>
          <w:szCs w:val="24"/>
        </w:rPr>
        <w:t>pentru perioada 01.01 – 30.06.2020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302E">
        <w:rPr>
          <w:rFonts w:ascii="Times New Roman" w:hAnsi="Times New Roman"/>
          <w:bCs/>
          <w:sz w:val="24"/>
          <w:szCs w:val="24"/>
        </w:rPr>
        <w:t>și prognoza de consum</w:t>
      </w:r>
      <w:r>
        <w:rPr>
          <w:rFonts w:ascii="Times New Roman" w:hAnsi="Times New Roman"/>
          <w:bCs/>
          <w:sz w:val="24"/>
          <w:szCs w:val="24"/>
        </w:rPr>
        <w:t xml:space="preserve"> pentru perioadele </w:t>
      </w:r>
      <w:r w:rsidR="006E028A">
        <w:rPr>
          <w:rFonts w:ascii="Times New Roman" w:hAnsi="Times New Roman"/>
          <w:bCs/>
          <w:sz w:val="24"/>
          <w:szCs w:val="24"/>
        </w:rPr>
        <w:t>01.01 – 30.06.2020 și 01.07 – 31.12.2020.</w:t>
      </w:r>
    </w:p>
    <w:p w:rsidR="006E028A" w:rsidRPr="0085302E" w:rsidRDefault="006E028A" w:rsidP="00EB668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580B" w:rsidRDefault="0043580B" w:rsidP="00827018">
      <w:pPr>
        <w:pStyle w:val="BodyText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43580B">
        <w:rPr>
          <w:rFonts w:ascii="Times New Roman" w:hAnsi="Times New Roman"/>
          <w:b/>
          <w:bCs/>
          <w:szCs w:val="24"/>
          <w:lang w:val="ro-RO"/>
        </w:rPr>
        <w:t>Componenta de achiziție</w:t>
      </w:r>
    </w:p>
    <w:p w:rsidR="002E1661" w:rsidRDefault="002E1661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Componenta de achiziție se determină, conform prevederilor art. 5 alin. (4) din Metodologie, utilizând următoarea formulă de calcul:</w:t>
      </w:r>
    </w:p>
    <w:p w:rsidR="002E1661" w:rsidRDefault="00856D04" w:rsidP="002E1661">
      <w:pPr>
        <w:pStyle w:val="ListParagraph"/>
        <w:spacing w:after="120" w:line="360" w:lineRule="auto"/>
        <w:jc w:val="center"/>
        <w:rPr>
          <w:rFonts w:eastAsia="Calibri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ascii="Cambria Math" w:eastAsia="Calibri" w:hAnsi="Cambria Math"/>
                </w:rPr>
                <m:t>p</m:t>
              </m:r>
            </m:e>
            <m:sub>
              <m:r>
                <w:rPr>
                  <w:rFonts w:ascii="Cambria Math" w:eastAsia="Calibri" w:hAnsi="Cambria Math"/>
                </w:rPr>
                <m:t>a,i</m:t>
              </m:r>
            </m:sub>
            <m:sup>
              <m:r>
                <w:rPr>
                  <w:rFonts w:ascii="Cambria Math" w:eastAsia="Calibri" w:hAnsi="Cambria Math"/>
                </w:rPr>
                <m:t>TR</m:t>
              </m:r>
            </m:sup>
          </m:sSubSup>
          <m:r>
            <w:rPr>
              <w:rFonts w:ascii="Cambria Math" w:eastAsia="Calibri" w:hAnsi="Cambria Math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achcr,i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TR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×1,03×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cr,i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TR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)+(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achcc,i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TR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×1.07×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(E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TR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cr,i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TR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)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TR</m:t>
                  </m:r>
                </m:sup>
              </m:sSubSup>
            </m:den>
          </m:f>
          <m:r>
            <w:rPr>
              <w:rFonts w:ascii="Cambria Math" w:eastAsia="Calibri" w:hAnsi="Cambria Math"/>
            </w:rPr>
            <m:t xml:space="preserve"> </m:t>
          </m:r>
        </m:oMath>
      </m:oMathPara>
    </w:p>
    <w:p w:rsidR="002E1661" w:rsidRDefault="002E1661" w:rsidP="002E1661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unde:</w:t>
      </w:r>
    </w:p>
    <w:p w:rsidR="002E1661" w:rsidRDefault="002E1661" w:rsidP="002E1661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67578">
        <w:rPr>
          <w:rFonts w:ascii="Times New Roman" w:hAnsi="Times New Roman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achcr,i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Pr="00B23356">
        <w:rPr>
          <w:rFonts w:ascii="Times New Roman" w:hAnsi="Times New Roman"/>
          <w:sz w:val="24"/>
          <w:szCs w:val="24"/>
        </w:rPr>
        <w:t>– preţul mediu ponderat al energiei electrice achiziționată prin contractele reglementate încheiate de către  FUI, în baza deciziilor ANRE, aferenta zonei de rețea i (include și costurile suplimentare facturate de către producătorii de energie electrică pentru care nu au fost alocate contracte reglementate în perioada de aplicare, stabilite de către ANRE);</w:t>
      </w:r>
    </w:p>
    <w:p w:rsidR="002E1661" w:rsidRDefault="002E1661" w:rsidP="002E1661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41F89">
        <w:rPr>
          <w:rFonts w:ascii="Times New Roman" w:hAnsi="Times New Roman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cr,i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</m:oMath>
      <w:r w:rsidRPr="00A41F89">
        <w:rPr>
          <w:rFonts w:ascii="Times New Roman" w:hAnsi="Times New Roman"/>
          <w:sz w:val="24"/>
          <w:szCs w:val="24"/>
        </w:rPr>
        <w:t xml:space="preserve"> – cantitatea de energie electrică</w:t>
      </w:r>
      <w:r>
        <w:rPr>
          <w:rFonts w:ascii="Times New Roman" w:hAnsi="Times New Roman"/>
          <w:sz w:val="24"/>
          <w:szCs w:val="24"/>
        </w:rPr>
        <w:t>,</w:t>
      </w:r>
      <w:r w:rsidRPr="00A41F89">
        <w:rPr>
          <w:rFonts w:ascii="Times New Roman" w:hAnsi="Times New Roman"/>
          <w:sz w:val="24"/>
          <w:szCs w:val="24"/>
        </w:rPr>
        <w:t xml:space="preserve"> achiziţ</w:t>
      </w:r>
      <w:r>
        <w:rPr>
          <w:rFonts w:ascii="Times New Roman" w:hAnsi="Times New Roman"/>
          <w:sz w:val="24"/>
          <w:szCs w:val="24"/>
        </w:rPr>
        <w:t xml:space="preserve">ionată </w:t>
      </w:r>
      <w:r w:rsidRPr="00A41F89">
        <w:rPr>
          <w:rFonts w:ascii="Times New Roman" w:hAnsi="Times New Roman"/>
          <w:sz w:val="24"/>
          <w:szCs w:val="24"/>
        </w:rPr>
        <w:t xml:space="preserve">de către FUI </w:t>
      </w:r>
      <w:r>
        <w:rPr>
          <w:rFonts w:ascii="Times New Roman" w:hAnsi="Times New Roman"/>
          <w:sz w:val="24"/>
          <w:szCs w:val="24"/>
        </w:rPr>
        <w:t>prin contracte reglementate</w:t>
      </w:r>
      <w:r w:rsidRPr="00A4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încheiate în baza deciziilor ANRE, aferentă zonei</w:t>
      </w:r>
      <w:r w:rsidRPr="00A41F89">
        <w:rPr>
          <w:rFonts w:ascii="Times New Roman" w:hAnsi="Times New Roman"/>
          <w:sz w:val="24"/>
          <w:szCs w:val="24"/>
        </w:rPr>
        <w:t xml:space="preserve"> de reţea i;</w:t>
      </w:r>
    </w:p>
    <w:p w:rsidR="002E1661" w:rsidRDefault="002E1661" w:rsidP="002E1661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41F89">
        <w:rPr>
          <w:rFonts w:ascii="Times New Roman" w:hAnsi="Times New Roman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achcc,i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</m:oMath>
      <w:r w:rsidRPr="00FD66C2">
        <w:rPr>
          <w:rFonts w:ascii="Times New Roman" w:hAnsi="Times New Roman"/>
          <w:sz w:val="24"/>
          <w:szCs w:val="24"/>
        </w:rPr>
        <w:t xml:space="preserve"> – pentru prima perioadă de aplicare este prețul mediu ponderat al PZU aferent perioadei mai – octombrie 2019, stabilit pe baza prețului mediu ponderat și a volumului total tranzacționat, aferente fiecarei luni a perioadei, prezentate în rapoartele de piață lunare publicate de OPCOM pe </w:t>
      </w:r>
      <w:r>
        <w:rPr>
          <w:rFonts w:ascii="Times New Roman" w:hAnsi="Times New Roman"/>
          <w:sz w:val="24"/>
          <w:szCs w:val="24"/>
        </w:rPr>
        <w:t>pagina proprie de internet</w:t>
      </w:r>
      <w:r w:rsidRPr="00FD66C2">
        <w:rPr>
          <w:rFonts w:ascii="Times New Roman" w:hAnsi="Times New Roman"/>
          <w:sz w:val="24"/>
          <w:szCs w:val="24"/>
        </w:rPr>
        <w:t>; pentru cea de a doua perioadă de aplicare este preţul mediu ponderat al energiei electrice achiziţionată de către operatorul economic care are și calitatea de FUI în zona de</w:t>
      </w:r>
      <w:r w:rsidRPr="00A41F89">
        <w:rPr>
          <w:rFonts w:ascii="Times New Roman" w:hAnsi="Times New Roman"/>
          <w:sz w:val="24"/>
          <w:szCs w:val="24"/>
        </w:rPr>
        <w:t xml:space="preserve"> reţea </w:t>
      </w:r>
      <w:r w:rsidRPr="00A850D9">
        <w:rPr>
          <w:rFonts w:ascii="Times New Roman" w:hAnsi="Times New Roman"/>
          <w:sz w:val="24"/>
          <w:szCs w:val="24"/>
        </w:rPr>
        <w:t>i,</w:t>
      </w:r>
      <w:r w:rsidRPr="00A41F89">
        <w:rPr>
          <w:rFonts w:ascii="Times New Roman" w:hAnsi="Times New Roman"/>
          <w:sz w:val="24"/>
          <w:szCs w:val="24"/>
        </w:rPr>
        <w:t xml:space="preserve"> prin contracte bilaterale încheiate pe PC, </w:t>
      </w:r>
      <w:r>
        <w:rPr>
          <w:rFonts w:ascii="Times New Roman" w:hAnsi="Times New Roman"/>
          <w:sz w:val="24"/>
          <w:szCs w:val="24"/>
        </w:rPr>
        <w:t xml:space="preserve">după data intrării în vigoare a prezentei Metodologii, </w:t>
      </w:r>
      <w:r w:rsidRPr="0019178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â</w:t>
      </w:r>
      <w:r w:rsidRPr="0019178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191782">
        <w:rPr>
          <w:rFonts w:ascii="Times New Roman" w:hAnsi="Times New Roman"/>
          <w:sz w:val="24"/>
          <w:szCs w:val="24"/>
        </w:rPr>
        <w:t xml:space="preserve"> cu 2 zile anterior datei transmiterii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50D9">
        <w:rPr>
          <w:rFonts w:ascii="Times New Roman" w:hAnsi="Times New Roman"/>
          <w:sz w:val="24"/>
          <w:szCs w:val="24"/>
        </w:rPr>
        <w:t>cu livrare în perioada de aplicare</w:t>
      </w:r>
      <w:r>
        <w:rPr>
          <w:rFonts w:ascii="Times New Roman" w:hAnsi="Times New Roman"/>
          <w:sz w:val="24"/>
          <w:szCs w:val="24"/>
        </w:rPr>
        <w:t>, comunicat de că</w:t>
      </w:r>
      <w:r w:rsidRPr="00A850D9">
        <w:rPr>
          <w:rFonts w:ascii="Times New Roman" w:hAnsi="Times New Roman"/>
          <w:sz w:val="24"/>
          <w:szCs w:val="24"/>
        </w:rPr>
        <w:t>tre OPCOM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E1661" w:rsidRPr="00EB6685" w:rsidRDefault="00856D04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m:oMath>
        <m:sSubSup>
          <m:sSubSupPr>
            <m:ctrlPr>
              <w:rPr>
                <w:rFonts w:ascii="Cambria Math" w:hAnsi="Cambria Math"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E</m:t>
            </m:r>
          </m:e>
          <m:sub>
            <m:r>
              <w:rPr>
                <w:rFonts w:ascii="Cambria Math" w:hAnsi="Cambria Math"/>
                <w:lang w:val="ro-RO"/>
              </w:rPr>
              <m:t>p,i</m:t>
            </m:r>
          </m:sub>
          <m:sup>
            <m:r>
              <w:rPr>
                <w:rFonts w:ascii="Cambria Math" w:hAnsi="Cambria Math"/>
                <w:lang w:val="ro-RO"/>
              </w:rPr>
              <m:t>TR</m:t>
            </m:r>
          </m:sup>
        </m:sSubSup>
      </m:oMath>
      <w:r w:rsidR="002E1661" w:rsidRPr="00EB6685">
        <w:rPr>
          <w:rFonts w:ascii="Times New Roman" w:hAnsi="Times New Roman"/>
          <w:szCs w:val="24"/>
          <w:lang w:val="ro-RO"/>
        </w:rPr>
        <w:t xml:space="preserve"> – necesarul de consum  al clienţilor casnici ai FUI din zona de reţea i, previzionat pentru perioada de aplicare [MWh].</w:t>
      </w:r>
    </w:p>
    <w:p w:rsidR="002E1661" w:rsidRPr="0085302E" w:rsidRDefault="002E1661" w:rsidP="0085302E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6E028A" w:rsidRDefault="006E028A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</w:p>
    <w:p w:rsidR="00EB6685" w:rsidRDefault="00EB6685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</w:p>
    <w:p w:rsidR="00EB6685" w:rsidRDefault="00EB6685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</w:p>
    <w:p w:rsidR="003913E1" w:rsidRPr="0085302E" w:rsidRDefault="003913E1" w:rsidP="0085302E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</w:p>
    <w:tbl>
      <w:tblPr>
        <w:tblW w:w="10341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266"/>
        <w:gridCol w:w="1144"/>
        <w:gridCol w:w="1139"/>
        <w:gridCol w:w="856"/>
        <w:gridCol w:w="1139"/>
        <w:gridCol w:w="855"/>
        <w:gridCol w:w="714"/>
        <w:gridCol w:w="714"/>
        <w:gridCol w:w="1280"/>
      </w:tblGrid>
      <w:tr w:rsidR="0043580B" w:rsidRPr="00BF0220" w:rsidTr="002C268C">
        <w:trPr>
          <w:trHeight w:val="66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lastRenderedPageBreak/>
              <w:t>FUI obligat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Zona de reț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ea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Prognoză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consum</w:t>
            </w:r>
            <w:r w:rsidR="00393B8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sem I 2020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(MWh)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Contracte PC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Contracte regl</w:t>
            </w:r>
            <w:r w:rsidR="0082701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ementate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Coef</w:t>
            </w:r>
            <w:r w:rsidR="00EB6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.</w:t>
            </w: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PC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BF0220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Coef.</w:t>
            </w:r>
          </w:p>
          <w:p w:rsidR="0043580B" w:rsidRPr="0043580B" w:rsidRDefault="0043580B" w:rsidP="00393B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regl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Componenta de achiziț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ie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(lei/MWh)</w:t>
            </w:r>
          </w:p>
        </w:tc>
      </w:tr>
      <w:tr w:rsidR="002C268C" w:rsidRPr="00BF0220" w:rsidTr="002C268C">
        <w:trPr>
          <w:trHeight w:val="505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Cantitate</w:t>
            </w:r>
            <w:r w:rsidR="004033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(MWh)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EB6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Preț 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mediu*</w:t>
            </w:r>
            <w:r w:rsidR="004033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(lei/ MWh)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Cantitate</w:t>
            </w:r>
            <w:r w:rsidR="004033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(MWh)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Preț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mediu*</w:t>
            </w:r>
            <w:r w:rsidR="004033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(lei/ MWh)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CEZ Vâ</w:t>
            </w:r>
            <w:r w:rsidR="0043580B"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nzare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Oltenia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536.437,21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144.849,27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391.587,94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148,20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186,66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Enel Energie Muntenia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Muntenia Sud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437.095,71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118.023,32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319.072,39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132,67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174,98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Enel Energie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Banat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196.713,92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53.119,39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143.594,53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158,03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194,05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Dobrogea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124.707,18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33.672,46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91.034,73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126,67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170,47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EB6685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EON Energie Romania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Moldova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662.115,97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178.776,31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483.339,66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141,09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181,31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Electrica Furnizare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Muntenia Nord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777.333,89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209.887,11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567.446,78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140,83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181,11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Transilvania Nord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759.005,53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204.935,09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554.070,44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141,56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181,66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Transilvania Sud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663.056,31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179.027,26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260,37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484.029,05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128,33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171,71</w:t>
            </w:r>
          </w:p>
        </w:tc>
      </w:tr>
      <w:tr w:rsidR="002C268C" w:rsidRPr="00BF0220" w:rsidTr="002C268C">
        <w:trPr>
          <w:trHeight w:val="255"/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* include Tg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0B" w:rsidRPr="0043580B" w:rsidRDefault="004358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</w:p>
        </w:tc>
      </w:tr>
    </w:tbl>
    <w:p w:rsidR="0043580B" w:rsidRPr="00827018" w:rsidRDefault="0043580B" w:rsidP="00827018">
      <w:pPr>
        <w:pStyle w:val="BodyText2"/>
        <w:spacing w:after="0" w:line="276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827018" w:rsidRPr="00827018" w:rsidRDefault="00827018" w:rsidP="0047732F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27018">
        <w:rPr>
          <w:rFonts w:ascii="Times New Roman" w:hAnsi="Times New Roman"/>
          <w:bCs/>
          <w:szCs w:val="24"/>
          <w:lang w:val="ro-RO"/>
        </w:rPr>
        <w:t>unde:</w:t>
      </w:r>
    </w:p>
    <w:p w:rsidR="00827018" w:rsidRPr="00827018" w:rsidRDefault="0085302E" w:rsidP="0047732F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Contracte PC –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 xml:space="preserve">energie </w:t>
      </w:r>
      <w:r w:rsidR="00EB6685">
        <w:rPr>
          <w:rFonts w:ascii="Times New Roman" w:hAnsi="Times New Roman"/>
          <w:bCs/>
          <w:szCs w:val="24"/>
          <w:lang w:val="ro-RO"/>
        </w:rPr>
        <w:t>electrică care se va achiziționa</w:t>
      </w:r>
      <w:r>
        <w:rPr>
          <w:rFonts w:ascii="Times New Roman" w:hAnsi="Times New Roman"/>
          <w:bCs/>
          <w:szCs w:val="24"/>
          <w:lang w:val="ro-RO"/>
        </w:rPr>
        <w:t xml:space="preserve"> prin 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contracte </w:t>
      </w:r>
      <w:r w:rsidR="00EB6685">
        <w:rPr>
          <w:rFonts w:ascii="Times New Roman" w:hAnsi="Times New Roman"/>
          <w:bCs/>
          <w:szCs w:val="24"/>
          <w:lang w:val="ro-RO"/>
        </w:rPr>
        <w:t>încheiate pe pie</w:t>
      </w:r>
      <w:r w:rsidR="00393B87">
        <w:rPr>
          <w:rFonts w:ascii="Times New Roman" w:hAnsi="Times New Roman"/>
          <w:bCs/>
          <w:szCs w:val="24"/>
          <w:lang w:val="ro-RO"/>
        </w:rPr>
        <w:t>țele</w:t>
      </w:r>
      <w:r w:rsidR="00EB6685">
        <w:rPr>
          <w:rFonts w:ascii="Times New Roman" w:hAnsi="Times New Roman"/>
          <w:bCs/>
          <w:szCs w:val="24"/>
          <w:lang w:val="ro-RO"/>
        </w:rPr>
        <w:t xml:space="preserve"> centralizate administrate de că</w:t>
      </w:r>
      <w:r w:rsidR="00393B87">
        <w:rPr>
          <w:rFonts w:ascii="Times New Roman" w:hAnsi="Times New Roman"/>
          <w:bCs/>
          <w:szCs w:val="24"/>
          <w:lang w:val="ro-RO"/>
        </w:rPr>
        <w:t>tre OPCOM</w:t>
      </w:r>
      <w:r w:rsidR="00EB6685">
        <w:rPr>
          <w:rFonts w:ascii="Times New Roman" w:hAnsi="Times New Roman"/>
          <w:bCs/>
          <w:szCs w:val="24"/>
          <w:lang w:val="ro-RO"/>
        </w:rPr>
        <w:t>;</w:t>
      </w:r>
    </w:p>
    <w:p w:rsidR="00827018" w:rsidRPr="00827018" w:rsidRDefault="0085302E" w:rsidP="0047732F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Tg -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 componenta </w:t>
      </w:r>
      <w:r w:rsidRPr="00827018">
        <w:rPr>
          <w:rFonts w:ascii="Times New Roman" w:hAnsi="Times New Roman"/>
          <w:bCs/>
          <w:szCs w:val="24"/>
          <w:lang w:val="ro-RO"/>
        </w:rPr>
        <w:t xml:space="preserve">de introducere a energiei electrice în rețea </w:t>
      </w:r>
      <w:r>
        <w:rPr>
          <w:rFonts w:ascii="Times New Roman" w:hAnsi="Times New Roman"/>
          <w:bCs/>
          <w:szCs w:val="24"/>
          <w:lang w:val="ro-RO"/>
        </w:rPr>
        <w:t xml:space="preserve">a </w:t>
      </w:r>
      <w:r w:rsidR="00827018" w:rsidRPr="00827018">
        <w:rPr>
          <w:rFonts w:ascii="Times New Roman" w:hAnsi="Times New Roman"/>
          <w:bCs/>
          <w:szCs w:val="24"/>
          <w:lang w:val="ro-RO"/>
        </w:rPr>
        <w:t>tarifului de transport</w:t>
      </w:r>
      <w:r w:rsidR="00EB6685">
        <w:rPr>
          <w:rFonts w:ascii="Times New Roman" w:hAnsi="Times New Roman"/>
          <w:bCs/>
          <w:szCs w:val="24"/>
          <w:lang w:val="ro-RO"/>
        </w:rPr>
        <w:t>;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 </w:t>
      </w:r>
    </w:p>
    <w:p w:rsidR="00827018" w:rsidRPr="00827018" w:rsidRDefault="0085302E" w:rsidP="0047732F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Coef</w:t>
      </w:r>
      <w:r w:rsidR="00EB6685">
        <w:rPr>
          <w:rFonts w:ascii="Times New Roman" w:hAnsi="Times New Roman"/>
          <w:bCs/>
          <w:szCs w:val="24"/>
          <w:lang w:val="ro-RO"/>
        </w:rPr>
        <w:t>.</w:t>
      </w:r>
      <w:r>
        <w:rPr>
          <w:rFonts w:ascii="Times New Roman" w:hAnsi="Times New Roman"/>
          <w:bCs/>
          <w:szCs w:val="24"/>
          <w:lang w:val="ro-RO"/>
        </w:rPr>
        <w:t xml:space="preserve"> PC - coeficient</w:t>
      </w:r>
      <w:r w:rsidR="00827018" w:rsidRPr="00827018">
        <w:rPr>
          <w:rFonts w:ascii="Times New Roman" w:hAnsi="Times New Roman"/>
          <w:lang w:val="ro-RO"/>
        </w:rPr>
        <w:t xml:space="preserve"> pentru asigurarea profil</w:t>
      </w:r>
      <w:r w:rsidR="00827018">
        <w:rPr>
          <w:rFonts w:ascii="Times New Roman" w:hAnsi="Times New Roman"/>
          <w:lang w:val="ro-RO"/>
        </w:rPr>
        <w:t>ă</w:t>
      </w:r>
      <w:r w:rsidR="00827018" w:rsidRPr="00827018">
        <w:rPr>
          <w:rFonts w:ascii="Times New Roman" w:hAnsi="Times New Roman"/>
          <w:lang w:val="ro-RO"/>
        </w:rPr>
        <w:t>rii consumului și asigurarea dezechilibrelor între prognoză și consum</w:t>
      </w:r>
      <w:r w:rsidR="00EB6685">
        <w:rPr>
          <w:rFonts w:ascii="Times New Roman" w:hAnsi="Times New Roman"/>
          <w:lang w:val="ro-RO"/>
        </w:rPr>
        <w:t xml:space="preserve"> în cazul contractelor încheiate pe pieț</w:t>
      </w:r>
      <w:r>
        <w:rPr>
          <w:rFonts w:ascii="Times New Roman" w:hAnsi="Times New Roman"/>
          <w:lang w:val="ro-RO"/>
        </w:rPr>
        <w:t>ele centralizate administrate de OPCOM</w:t>
      </w:r>
      <w:r w:rsidR="00EB6685">
        <w:rPr>
          <w:rFonts w:ascii="Times New Roman" w:hAnsi="Times New Roman"/>
          <w:lang w:val="ro-RO"/>
        </w:rPr>
        <w:t>;</w:t>
      </w:r>
    </w:p>
    <w:p w:rsidR="00403360" w:rsidRPr="0047732F" w:rsidRDefault="00393B87" w:rsidP="0047732F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Coef</w:t>
      </w:r>
      <w:r w:rsidR="00EB6685">
        <w:rPr>
          <w:rFonts w:ascii="Times New Roman" w:hAnsi="Times New Roman"/>
          <w:bCs/>
          <w:szCs w:val="24"/>
          <w:lang w:val="ro-RO"/>
        </w:rPr>
        <w:t>.</w:t>
      </w:r>
      <w:r>
        <w:rPr>
          <w:rFonts w:ascii="Times New Roman" w:hAnsi="Times New Roman"/>
          <w:bCs/>
          <w:szCs w:val="24"/>
          <w:lang w:val="ro-RO"/>
        </w:rPr>
        <w:t xml:space="preserve"> r</w:t>
      </w:r>
      <w:r w:rsidR="00EB6685">
        <w:rPr>
          <w:rFonts w:ascii="Times New Roman" w:hAnsi="Times New Roman"/>
          <w:bCs/>
          <w:szCs w:val="24"/>
          <w:lang w:val="ro-RO"/>
        </w:rPr>
        <w:t>egl. -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 coeficient</w:t>
      </w:r>
      <w:r w:rsidR="00827018" w:rsidRPr="00827018">
        <w:rPr>
          <w:rFonts w:ascii="Times New Roman" w:hAnsi="Times New Roman"/>
          <w:lang w:val="ro-RO"/>
        </w:rPr>
        <w:t xml:space="preserve"> pentru asigurarea dezechilibrelor între prognoză și consum</w:t>
      </w:r>
      <w:r w:rsidR="00EB6685">
        <w:rPr>
          <w:rFonts w:ascii="Times New Roman" w:hAnsi="Times New Roman"/>
          <w:lang w:val="ro-RO"/>
        </w:rPr>
        <w:t xml:space="preserve"> î</w:t>
      </w:r>
      <w:r w:rsidR="0047732F">
        <w:rPr>
          <w:rFonts w:ascii="Times New Roman" w:hAnsi="Times New Roman"/>
          <w:lang w:val="ro-RO"/>
        </w:rPr>
        <w:t>n cazul contractelor reglementate</w:t>
      </w:r>
      <w:r w:rsidR="00EB6685">
        <w:rPr>
          <w:rFonts w:ascii="Times New Roman" w:hAnsi="Times New Roman"/>
          <w:lang w:val="ro-RO"/>
        </w:rPr>
        <w:t>.</w:t>
      </w:r>
      <w:bookmarkStart w:id="0" w:name="_GoBack"/>
      <w:bookmarkEnd w:id="0"/>
    </w:p>
    <w:p w:rsidR="00403360" w:rsidRPr="00827018" w:rsidRDefault="00403360" w:rsidP="00827018">
      <w:pPr>
        <w:pStyle w:val="BodyText2"/>
        <w:spacing w:after="0" w:line="276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6E028A" w:rsidRDefault="00BF0220" w:rsidP="00BA024E">
      <w:pPr>
        <w:pStyle w:val="BodyText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BF0220">
        <w:rPr>
          <w:rFonts w:ascii="Times New Roman" w:hAnsi="Times New Roman"/>
          <w:b/>
          <w:bCs/>
          <w:szCs w:val="24"/>
          <w:lang w:val="ro-RO"/>
        </w:rPr>
        <w:t>Componenta de furnizare</w:t>
      </w:r>
    </w:p>
    <w:p w:rsidR="006E028A" w:rsidRDefault="006E028A" w:rsidP="0047732F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Componenta de furnizare se determină, conform prevederilor art. 5 alin. (6) din Metodologie, utilizând următoarea formulă de calcul:</w:t>
      </w:r>
    </w:p>
    <w:p w:rsidR="006E028A" w:rsidRPr="0047732F" w:rsidRDefault="00856D04" w:rsidP="006E028A">
      <w:pPr>
        <w:pStyle w:val="ListParagraph"/>
        <w:spacing w:after="120" w:line="360" w:lineRule="auto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fa,i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fs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s,i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t,i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p,i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den>
        </m:f>
      </m:oMath>
      <w:r w:rsidR="006E028A" w:rsidRPr="0047732F">
        <w:rPr>
          <w:sz w:val="24"/>
          <w:szCs w:val="24"/>
        </w:rPr>
        <w:t xml:space="preserve"> [lei/MWh]</w:t>
      </w:r>
    </w:p>
    <w:p w:rsidR="006E028A" w:rsidRPr="00C248E9" w:rsidRDefault="006E028A" w:rsidP="006E028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48E9">
        <w:rPr>
          <w:rFonts w:ascii="Times New Roman" w:hAnsi="Times New Roman"/>
          <w:sz w:val="24"/>
          <w:szCs w:val="24"/>
        </w:rPr>
        <w:t>unde:</w:t>
      </w:r>
    </w:p>
    <w:p w:rsidR="006E028A" w:rsidRPr="006E028A" w:rsidRDefault="00856D04" w:rsidP="006E028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fs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</m:oMath>
      <w:r w:rsidR="006E028A" w:rsidRPr="00763942">
        <w:rPr>
          <w:rFonts w:ascii="Times New Roman" w:hAnsi="Times New Roman"/>
          <w:sz w:val="24"/>
          <w:szCs w:val="24"/>
        </w:rPr>
        <w:t xml:space="preserve"> – </w:t>
      </w:r>
      <w:r w:rsidR="006E028A" w:rsidRPr="00BA024E">
        <w:rPr>
          <w:rFonts w:ascii="Times New Roman" w:hAnsi="Times New Roman"/>
          <w:sz w:val="24"/>
          <w:szCs w:val="24"/>
        </w:rPr>
        <w:t>componenta de furnizare specifică aferentă clienților casnici la tarife reglementate, include:</w:t>
      </w:r>
    </w:p>
    <w:p w:rsidR="006E028A" w:rsidRPr="00D95EA6" w:rsidRDefault="006E028A" w:rsidP="006E028A">
      <w:pPr>
        <w:pStyle w:val="ListParagraph"/>
        <w:numPr>
          <w:ilvl w:val="1"/>
          <w:numId w:val="13"/>
        </w:numPr>
        <w:spacing w:after="120" w:line="360" w:lineRule="auto"/>
        <w:contextualSpacing w:val="0"/>
        <w:jc w:val="both"/>
        <w:rPr>
          <w:sz w:val="24"/>
          <w:szCs w:val="24"/>
          <w:lang w:val="ro-RO"/>
        </w:rPr>
      </w:pPr>
      <w:r w:rsidRPr="0047732F">
        <w:rPr>
          <w:sz w:val="24"/>
          <w:szCs w:val="24"/>
          <w:lang w:val="ro-RO"/>
        </w:rPr>
        <w:t>costul activității de furnizare</w:t>
      </w:r>
      <w:r w:rsidR="00CE1F93">
        <w:rPr>
          <w:sz w:val="24"/>
          <w:szCs w:val="24"/>
          <w:lang w:val="ro-RO"/>
        </w:rPr>
        <w:t xml:space="preserve"> de 4,85</w:t>
      </w:r>
      <w:r w:rsidR="00CE1F93" w:rsidRPr="0047732F">
        <w:rPr>
          <w:sz w:val="24"/>
          <w:szCs w:val="24"/>
          <w:lang w:val="ro-RO"/>
        </w:rPr>
        <w:t xml:space="preserve"> lei/loc de consum/lună</w:t>
      </w:r>
      <w:r w:rsidRPr="0047732F">
        <w:rPr>
          <w:sz w:val="24"/>
          <w:szCs w:val="24"/>
          <w:lang w:val="ro-RO"/>
        </w:rPr>
        <w:t xml:space="preserve">, calculat </w:t>
      </w:r>
      <w:r w:rsidR="0047732F" w:rsidRPr="0047732F">
        <w:rPr>
          <w:sz w:val="24"/>
          <w:szCs w:val="24"/>
          <w:lang w:val="ro-RO"/>
        </w:rPr>
        <w:t>prin majorarea costului</w:t>
      </w:r>
      <w:r w:rsidR="00CE1F93">
        <w:rPr>
          <w:sz w:val="24"/>
          <w:szCs w:val="24"/>
          <w:lang w:val="ro-RO"/>
        </w:rPr>
        <w:t xml:space="preserve"> activității de furnizare utilizat î</w:t>
      </w:r>
      <w:r w:rsidR="0047732F" w:rsidRPr="0047732F">
        <w:rPr>
          <w:sz w:val="24"/>
          <w:szCs w:val="24"/>
          <w:lang w:val="ro-RO"/>
        </w:rPr>
        <w:t xml:space="preserve">n calculul tarifelor reglementate aplicate </w:t>
      </w:r>
      <w:r w:rsidR="00CE1F93">
        <w:rPr>
          <w:sz w:val="24"/>
          <w:szCs w:val="24"/>
          <w:lang w:val="ro-RO"/>
        </w:rPr>
        <w:t>î</w:t>
      </w:r>
      <w:r w:rsidR="0047732F" w:rsidRPr="0047732F">
        <w:rPr>
          <w:sz w:val="24"/>
          <w:szCs w:val="24"/>
          <w:lang w:val="ro-RO"/>
        </w:rPr>
        <w:t xml:space="preserve">n perioada martie - decembrie 2019 de </w:t>
      </w:r>
      <w:r w:rsidRPr="0047732F">
        <w:rPr>
          <w:sz w:val="24"/>
          <w:szCs w:val="24"/>
          <w:lang w:val="ro-RO"/>
        </w:rPr>
        <w:t xml:space="preserve">4,7 lei/loc de consum/lună </w:t>
      </w:r>
      <w:r w:rsidR="0047732F" w:rsidRPr="0047732F">
        <w:rPr>
          <w:sz w:val="24"/>
          <w:szCs w:val="24"/>
          <w:lang w:val="ro-RO"/>
        </w:rPr>
        <w:t xml:space="preserve">cu </w:t>
      </w:r>
      <w:r w:rsidRPr="0047732F">
        <w:rPr>
          <w:sz w:val="24"/>
          <w:szCs w:val="24"/>
          <w:lang w:val="ro-RO"/>
        </w:rPr>
        <w:t xml:space="preserve">rata medie a </w:t>
      </w:r>
      <w:r w:rsidRPr="0047732F">
        <w:rPr>
          <w:sz w:val="24"/>
          <w:szCs w:val="24"/>
          <w:lang w:val="ro-RO"/>
        </w:rPr>
        <w:lastRenderedPageBreak/>
        <w:t xml:space="preserve">inflației estimată pentru anul 2020, conform Comisiei Naţionale de Strategie şi </w:t>
      </w:r>
      <w:r w:rsidRPr="00D95EA6">
        <w:rPr>
          <w:sz w:val="24"/>
          <w:szCs w:val="24"/>
          <w:lang w:val="ro-RO"/>
        </w:rPr>
        <w:t>Prognoză</w:t>
      </w:r>
      <w:r w:rsidR="0047732F" w:rsidRPr="00D95EA6">
        <w:rPr>
          <w:sz w:val="24"/>
          <w:szCs w:val="24"/>
          <w:lang w:val="ro-RO"/>
        </w:rPr>
        <w:t xml:space="preserve"> de </w:t>
      </w:r>
      <w:r w:rsidR="00D95EA6" w:rsidRPr="00D95EA6">
        <w:rPr>
          <w:sz w:val="24"/>
          <w:szCs w:val="24"/>
          <w:lang w:val="ro-RO"/>
        </w:rPr>
        <w:t>3,</w:t>
      </w:r>
      <w:r w:rsidR="0047732F" w:rsidRPr="00D95EA6">
        <w:rPr>
          <w:sz w:val="24"/>
          <w:szCs w:val="24"/>
          <w:lang w:val="ro-RO"/>
        </w:rPr>
        <w:t>1%</w:t>
      </w:r>
      <w:r w:rsidRPr="00D95EA6">
        <w:rPr>
          <w:sz w:val="24"/>
          <w:szCs w:val="24"/>
          <w:lang w:val="ro-RO"/>
        </w:rPr>
        <w:t>;</w:t>
      </w:r>
    </w:p>
    <w:p w:rsidR="006E028A" w:rsidRPr="00D95EA6" w:rsidRDefault="00D95EA6" w:rsidP="00CE1F93">
      <w:pPr>
        <w:pStyle w:val="ListParagraph"/>
        <w:numPr>
          <w:ilvl w:val="1"/>
          <w:numId w:val="13"/>
        </w:numPr>
        <w:spacing w:after="120" w:line="360" w:lineRule="auto"/>
        <w:contextualSpacing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profitul</w:t>
      </w:r>
      <w:r w:rsidR="006E028A" w:rsidRPr="00D95EA6">
        <w:rPr>
          <w:sz w:val="24"/>
          <w:szCs w:val="24"/>
          <w:lang w:val="ro-RO"/>
        </w:rPr>
        <w:t xml:space="preserve"> </w:t>
      </w:r>
      <w:r w:rsidR="00CE1F93" w:rsidRPr="00D95EA6">
        <w:rPr>
          <w:sz w:val="24"/>
          <w:szCs w:val="24"/>
          <w:lang w:val="ro-RO"/>
        </w:rPr>
        <w:t xml:space="preserve">de 0,72 lei/loc de consum/lună, </w:t>
      </w:r>
      <w:r w:rsidR="006E028A" w:rsidRPr="00D95EA6">
        <w:rPr>
          <w:sz w:val="24"/>
          <w:szCs w:val="24"/>
          <w:lang w:val="ro-RO"/>
        </w:rPr>
        <w:t xml:space="preserve">calculat </w:t>
      </w:r>
      <w:r w:rsidRPr="00D95EA6">
        <w:rPr>
          <w:sz w:val="24"/>
          <w:szCs w:val="24"/>
          <w:lang w:val="ro-RO"/>
        </w:rPr>
        <w:t xml:space="preserve">ca </w:t>
      </w:r>
      <w:r w:rsidR="00502842">
        <w:rPr>
          <w:sz w:val="24"/>
          <w:szCs w:val="24"/>
          <w:lang w:val="ro-RO"/>
        </w:rPr>
        <w:t>produs î</w:t>
      </w:r>
      <w:r>
        <w:rPr>
          <w:sz w:val="24"/>
          <w:szCs w:val="24"/>
          <w:lang w:val="ro-RO"/>
        </w:rPr>
        <w:t>ntre pondere</w:t>
      </w:r>
      <w:r w:rsidRPr="00D95EA6">
        <w:rPr>
          <w:sz w:val="24"/>
          <w:szCs w:val="24"/>
          <w:lang w:val="ro-RO"/>
        </w:rPr>
        <w:t>a</w:t>
      </w:r>
      <w:r w:rsidR="00CE1F93" w:rsidRPr="00D95EA6">
        <w:rPr>
          <w:sz w:val="24"/>
          <w:szCs w:val="24"/>
          <w:lang w:val="ro-RO"/>
        </w:rPr>
        <w:t xml:space="preserve"> profitului de 0,7 lei/loc de consum/lună raportat </w:t>
      </w:r>
      <w:r>
        <w:rPr>
          <w:sz w:val="24"/>
          <w:szCs w:val="24"/>
          <w:lang w:val="ro-RO"/>
        </w:rPr>
        <w:t>la costul activităț</w:t>
      </w:r>
      <w:r w:rsidR="00CE1F93" w:rsidRPr="00D95EA6">
        <w:rPr>
          <w:sz w:val="24"/>
          <w:szCs w:val="24"/>
          <w:lang w:val="ro-RO"/>
        </w:rPr>
        <w:t xml:space="preserve">ii de furnizare </w:t>
      </w:r>
      <w:r w:rsidRPr="00D95EA6">
        <w:rPr>
          <w:sz w:val="24"/>
          <w:szCs w:val="24"/>
          <w:lang w:val="ro-RO"/>
        </w:rPr>
        <w:t>de 4,7 lei/loc de consum/lună aferente tarifelor reglementate aplicate î</w:t>
      </w:r>
      <w:r>
        <w:rPr>
          <w:sz w:val="24"/>
          <w:szCs w:val="24"/>
          <w:lang w:val="ro-RO"/>
        </w:rPr>
        <w:t>n</w:t>
      </w:r>
      <w:r w:rsidR="00CE1F93" w:rsidRPr="00D95EA6">
        <w:rPr>
          <w:sz w:val="24"/>
          <w:szCs w:val="24"/>
          <w:lang w:val="ro-RO"/>
        </w:rPr>
        <w:t xml:space="preserve"> perioada martie – decembrie 2019</w:t>
      </w:r>
      <w:r>
        <w:rPr>
          <w:sz w:val="24"/>
          <w:szCs w:val="24"/>
          <w:lang w:val="ro-RO"/>
        </w:rPr>
        <w:t>, și valoarea costului activității de furnizare de 4,85 lei/loc de consum/lună.</w:t>
      </w:r>
    </w:p>
    <w:p w:rsidR="006E028A" w:rsidRDefault="006E028A" w:rsidP="006E028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E4DB4">
        <w:rPr>
          <w:rFonts w:ascii="Times New Roman" w:hAnsi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s,i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</m:oMath>
      <w:r w:rsidRPr="00A67578">
        <w:rPr>
          <w:rFonts w:ascii="Times New Roman" w:hAnsi="Times New Roman"/>
          <w:sz w:val="24"/>
          <w:szCs w:val="24"/>
        </w:rPr>
        <w:t xml:space="preserve"> – consumul specific de energie electrică al clienților casnici ai  FUI</w:t>
      </w:r>
      <w:r>
        <w:rPr>
          <w:rFonts w:ascii="Times New Roman" w:hAnsi="Times New Roman"/>
          <w:sz w:val="24"/>
          <w:szCs w:val="24"/>
        </w:rPr>
        <w:t>, previzionat</w:t>
      </w:r>
      <w:r w:rsidRPr="00A67578">
        <w:rPr>
          <w:rFonts w:ascii="Times New Roman" w:hAnsi="Times New Roman"/>
          <w:sz w:val="24"/>
          <w:szCs w:val="24"/>
        </w:rPr>
        <w:t>, aferent zonei de rețea i</w:t>
      </w:r>
      <w:r>
        <w:rPr>
          <w:rFonts w:ascii="Times New Roman" w:hAnsi="Times New Roman"/>
          <w:sz w:val="24"/>
          <w:szCs w:val="24"/>
        </w:rPr>
        <w:t>, determinat astfel:</w:t>
      </w:r>
    </w:p>
    <w:p w:rsidR="006E028A" w:rsidRPr="0047732F" w:rsidRDefault="00856D04" w:rsidP="006E028A">
      <w:pPr>
        <w:pStyle w:val="ListParagraph"/>
        <w:spacing w:after="120" w:line="360" w:lineRule="auto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s,i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p,i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lc,i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X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  <m:sup/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</m:oMath>
      <w:r w:rsidR="006E028A" w:rsidRPr="0047732F">
        <w:rPr>
          <w:sz w:val="24"/>
          <w:szCs w:val="24"/>
        </w:rPr>
        <w:t xml:space="preserve">  [MWh/loc de consum/lună]</w:t>
      </w:r>
    </w:p>
    <w:p w:rsidR="006E028A" w:rsidRPr="00A41F89" w:rsidRDefault="00856D04" w:rsidP="006E028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lc,i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</m:oMath>
      <w:r w:rsidR="006E028A" w:rsidRPr="00A41F89">
        <w:rPr>
          <w:rFonts w:ascii="Times New Roman" w:hAnsi="Times New Roman"/>
          <w:sz w:val="24"/>
          <w:szCs w:val="24"/>
        </w:rPr>
        <w:t xml:space="preserve"> - numărul mediu al locurilor de consum aparținând clienților casnici din portofoliul FUI din zona de rețea i, previzionat pentru perioada de aplicare;</w:t>
      </w:r>
    </w:p>
    <w:p w:rsidR="006E028A" w:rsidRPr="00A41F89" w:rsidRDefault="00856D04" w:rsidP="006E028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</m:t>
            </m:r>
          </m:sub>
          <m:sup/>
        </m:sSubSup>
      </m:oMath>
      <w:r w:rsidR="006E028A" w:rsidRPr="00A41F89">
        <w:rPr>
          <w:rFonts w:ascii="Times New Roman" w:hAnsi="Times New Roman"/>
        </w:rPr>
        <w:t xml:space="preserve"> - </w:t>
      </w:r>
      <w:r w:rsidR="006E028A" w:rsidRPr="00A41F89">
        <w:rPr>
          <w:rFonts w:ascii="Times New Roman" w:hAnsi="Times New Roman"/>
          <w:sz w:val="24"/>
          <w:szCs w:val="24"/>
        </w:rPr>
        <w:t>numărul de luni din perioada de aplicare;</w:t>
      </w:r>
    </w:p>
    <w:p w:rsidR="006E028A" w:rsidRPr="00BA024E" w:rsidRDefault="00856D04" w:rsidP="0047732F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t,i</m:t>
            </m:r>
          </m:sub>
          <m:sup>
            <m:r>
              <w:rPr>
                <w:rFonts w:ascii="Cambria Math" w:hAnsi="Cambria Math"/>
              </w:rPr>
              <m:t>TR</m:t>
            </m:r>
          </m:sup>
        </m:sSubSup>
      </m:oMath>
      <w:r w:rsidR="006E028A" w:rsidRPr="00A41F89">
        <w:rPr>
          <w:rFonts w:ascii="Times New Roman" w:hAnsi="Times New Roman"/>
          <w:szCs w:val="24"/>
        </w:rPr>
        <w:t xml:space="preserve"> – </w:t>
      </w:r>
      <w:proofErr w:type="spellStart"/>
      <w:r w:rsidR="006E028A" w:rsidRPr="00A41F89">
        <w:rPr>
          <w:rFonts w:ascii="Times New Roman" w:hAnsi="Times New Roman"/>
          <w:szCs w:val="24"/>
        </w:rPr>
        <w:t>valoarea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proofErr w:type="spellStart"/>
      <w:r w:rsidR="006E028A" w:rsidRPr="00A41F89">
        <w:rPr>
          <w:rFonts w:ascii="Times New Roman" w:hAnsi="Times New Roman"/>
          <w:szCs w:val="24"/>
        </w:rPr>
        <w:t>previzionată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a </w:t>
      </w:r>
      <w:proofErr w:type="spellStart"/>
      <w:r w:rsidR="006E028A" w:rsidRPr="00A41F89">
        <w:rPr>
          <w:rFonts w:ascii="Times New Roman" w:hAnsi="Times New Roman"/>
          <w:szCs w:val="24"/>
        </w:rPr>
        <w:t>unor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proofErr w:type="spellStart"/>
      <w:r w:rsidR="006E028A" w:rsidRPr="00A41F89">
        <w:rPr>
          <w:rFonts w:ascii="Times New Roman" w:hAnsi="Times New Roman"/>
          <w:szCs w:val="24"/>
        </w:rPr>
        <w:t>taxe</w:t>
      </w:r>
      <w:proofErr w:type="spellEnd"/>
      <w:r w:rsidR="006E028A" w:rsidRPr="00A41F89">
        <w:rPr>
          <w:rFonts w:ascii="Times New Roman" w:hAnsi="Times New Roman"/>
          <w:szCs w:val="24"/>
        </w:rPr>
        <w:t>/</w:t>
      </w:r>
      <w:proofErr w:type="spellStart"/>
      <w:r w:rsidR="006E028A" w:rsidRPr="00A41F89">
        <w:rPr>
          <w:rFonts w:ascii="Times New Roman" w:hAnsi="Times New Roman"/>
          <w:szCs w:val="24"/>
        </w:rPr>
        <w:t>impozite</w:t>
      </w:r>
      <w:proofErr w:type="spellEnd"/>
      <w:r w:rsidR="006E028A" w:rsidRPr="00A41F89">
        <w:rPr>
          <w:rFonts w:ascii="Times New Roman" w:hAnsi="Times New Roman"/>
          <w:szCs w:val="24"/>
        </w:rPr>
        <w:t>/</w:t>
      </w:r>
      <w:proofErr w:type="spellStart"/>
      <w:r w:rsidR="006E028A" w:rsidRPr="00A41F89">
        <w:rPr>
          <w:rFonts w:ascii="Times New Roman" w:hAnsi="Times New Roman"/>
          <w:szCs w:val="24"/>
        </w:rPr>
        <w:t>contribuţii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proofErr w:type="spellStart"/>
      <w:r w:rsidR="006E028A" w:rsidRPr="00A41F89">
        <w:rPr>
          <w:rFonts w:ascii="Times New Roman" w:hAnsi="Times New Roman"/>
          <w:szCs w:val="24"/>
        </w:rPr>
        <w:t>noi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proofErr w:type="spellStart"/>
      <w:r w:rsidR="006E028A" w:rsidRPr="00A41F89">
        <w:rPr>
          <w:rFonts w:ascii="Times New Roman" w:hAnsi="Times New Roman"/>
          <w:szCs w:val="24"/>
        </w:rPr>
        <w:t>sau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proofErr w:type="spellStart"/>
      <w:r w:rsidR="006E028A" w:rsidRPr="00A41F89">
        <w:rPr>
          <w:rFonts w:ascii="Times New Roman" w:hAnsi="Times New Roman"/>
          <w:szCs w:val="24"/>
        </w:rPr>
        <w:t>modificări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ale </w:t>
      </w:r>
      <w:proofErr w:type="spellStart"/>
      <w:r w:rsidR="006E028A" w:rsidRPr="00A41F89">
        <w:rPr>
          <w:rFonts w:ascii="Times New Roman" w:hAnsi="Times New Roman"/>
          <w:szCs w:val="24"/>
        </w:rPr>
        <w:t>acestora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, </w:t>
      </w:r>
      <w:proofErr w:type="spellStart"/>
      <w:r w:rsidR="006E028A" w:rsidRPr="00A41F89">
        <w:rPr>
          <w:rFonts w:ascii="Times New Roman" w:hAnsi="Times New Roman"/>
          <w:szCs w:val="24"/>
        </w:rPr>
        <w:t>aplicabile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de </w:t>
      </w:r>
      <w:proofErr w:type="spellStart"/>
      <w:r w:rsidR="006E028A" w:rsidRPr="00A41F89">
        <w:rPr>
          <w:rFonts w:ascii="Times New Roman" w:hAnsi="Times New Roman"/>
          <w:szCs w:val="24"/>
        </w:rPr>
        <w:t>c</w:t>
      </w:r>
      <w:r w:rsidR="006E028A">
        <w:rPr>
          <w:rFonts w:ascii="Times New Roman" w:hAnsi="Times New Roman"/>
          <w:szCs w:val="24"/>
        </w:rPr>
        <w:t>ă</w:t>
      </w:r>
      <w:r w:rsidR="006E028A" w:rsidRPr="00A41F89">
        <w:rPr>
          <w:rFonts w:ascii="Times New Roman" w:hAnsi="Times New Roman"/>
          <w:szCs w:val="24"/>
        </w:rPr>
        <w:t>tre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FUI </w:t>
      </w:r>
      <w:proofErr w:type="spellStart"/>
      <w:r w:rsidR="006E028A" w:rsidRPr="00A41F89">
        <w:rPr>
          <w:rFonts w:ascii="Times New Roman" w:hAnsi="Times New Roman"/>
          <w:szCs w:val="24"/>
        </w:rPr>
        <w:t>începând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cu data </w:t>
      </w:r>
      <w:proofErr w:type="spellStart"/>
      <w:r w:rsidR="006E028A" w:rsidRPr="00A41F89">
        <w:rPr>
          <w:rFonts w:ascii="Times New Roman" w:hAnsi="Times New Roman"/>
          <w:szCs w:val="24"/>
        </w:rPr>
        <w:t>de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</w:t>
      </w:r>
      <w:r w:rsidR="006E028A">
        <w:rPr>
          <w:rFonts w:ascii="Times New Roman" w:hAnsi="Times New Roman"/>
          <w:szCs w:val="24"/>
        </w:rPr>
        <w:t>01.01.</w:t>
      </w:r>
      <w:r w:rsidR="006E028A" w:rsidRPr="00A41F89">
        <w:rPr>
          <w:rFonts w:ascii="Times New Roman" w:hAnsi="Times New Roman"/>
          <w:szCs w:val="24"/>
        </w:rPr>
        <w:t>2019</w:t>
      </w:r>
      <w:r w:rsidR="006E028A">
        <w:rPr>
          <w:rFonts w:ascii="Times New Roman" w:hAnsi="Times New Roman"/>
          <w:szCs w:val="24"/>
        </w:rPr>
        <w:t xml:space="preserve">, </w:t>
      </w:r>
      <w:proofErr w:type="spellStart"/>
      <w:r w:rsidR="006E028A">
        <w:rPr>
          <w:rFonts w:ascii="Times New Roman" w:hAnsi="Times New Roman"/>
          <w:szCs w:val="24"/>
        </w:rPr>
        <w:t>aferenta</w:t>
      </w:r>
      <w:proofErr w:type="spellEnd"/>
      <w:r w:rsidR="006E028A">
        <w:rPr>
          <w:rFonts w:ascii="Times New Roman" w:hAnsi="Times New Roman"/>
          <w:szCs w:val="24"/>
        </w:rPr>
        <w:t xml:space="preserve"> </w:t>
      </w:r>
      <w:proofErr w:type="spellStart"/>
      <w:r w:rsidR="006E028A">
        <w:rPr>
          <w:rFonts w:ascii="Times New Roman" w:hAnsi="Times New Roman"/>
          <w:szCs w:val="24"/>
        </w:rPr>
        <w:t>perioadei</w:t>
      </w:r>
      <w:proofErr w:type="spellEnd"/>
      <w:r w:rsidR="006E028A">
        <w:rPr>
          <w:rFonts w:ascii="Times New Roman" w:hAnsi="Times New Roman"/>
          <w:szCs w:val="24"/>
        </w:rPr>
        <w:t xml:space="preserve"> de </w:t>
      </w:r>
      <w:proofErr w:type="spellStart"/>
      <w:r w:rsidR="006E028A">
        <w:rPr>
          <w:rFonts w:ascii="Times New Roman" w:hAnsi="Times New Roman"/>
          <w:szCs w:val="24"/>
        </w:rPr>
        <w:t>aplicare</w:t>
      </w:r>
      <w:proofErr w:type="spellEnd"/>
      <w:r w:rsidR="006E028A" w:rsidRPr="00A41F89">
        <w:rPr>
          <w:rFonts w:ascii="Times New Roman" w:hAnsi="Times New Roman"/>
          <w:szCs w:val="24"/>
        </w:rPr>
        <w:t xml:space="preserve"> [lei];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1276"/>
        <w:gridCol w:w="1134"/>
        <w:gridCol w:w="1276"/>
        <w:gridCol w:w="1134"/>
        <w:gridCol w:w="992"/>
        <w:gridCol w:w="1275"/>
      </w:tblGrid>
      <w:tr w:rsidR="00393B87" w:rsidRPr="00BF0220" w:rsidTr="0047732F">
        <w:trPr>
          <w:trHeight w:val="8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FUI obligati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Zona de retea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DE4A0B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Comp. specifică</w:t>
            </w:r>
            <w:r w:rsidR="00393B87"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an 2020</w:t>
            </w:r>
            <w:r w:rsidR="00393B87"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(lei/loc consum/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</w:t>
            </w:r>
            <w:r w:rsidR="00393B87"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luna)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Numar locuri consum sem I 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Prognoza consum sem I 2020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(MWh)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Calcul contributie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Componenta de furnizare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(lei/MWh)</w:t>
            </w:r>
          </w:p>
        </w:tc>
      </w:tr>
      <w:tr w:rsidR="00393B87" w:rsidRPr="00BF0220" w:rsidTr="0047732F">
        <w:trPr>
          <w:trHeight w:val="11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Valoare cifra de afaceri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reglementat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(lei)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Valoare contributie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br/>
              <w:t>(lei)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44" w:rsidRPr="0047732F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o-RO"/>
              </w:rPr>
            </w:pPr>
            <w:r w:rsidRPr="0047732F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o-RO"/>
              </w:rPr>
              <w:t>Valoare contributie</w:t>
            </w:r>
          </w:p>
          <w:p w:rsidR="00393B87" w:rsidRPr="0047732F" w:rsidRDefault="00393B87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o-RO"/>
              </w:rPr>
            </w:pPr>
            <w:r w:rsidRPr="0047732F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o-RO"/>
              </w:rPr>
              <w:t>(lei/MWh)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DE4A0B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CEZ Vâ</w:t>
            </w:r>
            <w:r w:rsidR="00393B87"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nzare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Oltenia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890.000,00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536.437,21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29.743.800,00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594.876,00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56,56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DE4A0B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Enel Energie Muntenia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Muntenia Sud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437.762,84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437.095,71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14.630.034,17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292.600,68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34,14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Enel Energie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Banat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236.443,27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196.713,92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7.901.934,23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158.038,68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40,97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Dobrogea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149.890,24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124.707,18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5.009.331,91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100.186,64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40,97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DE4A0B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EON Energie România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Moldova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1.133.218,67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662.115,97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37.872.167,84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757.443,36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1,14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58,34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Electrica Furnizare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Muntenia Nord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1.095.892,00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777.333,89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36.624.710,64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732.494,21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0,94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48,06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Transilvania Nord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1.091.400,00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759.005,53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36.474.588,00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729.491,76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0,96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49,02 </w:t>
            </w:r>
          </w:p>
        </w:tc>
      </w:tr>
      <w:tr w:rsidR="00393B87" w:rsidRPr="00BF0220" w:rsidTr="0047732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Transilvania Sud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967.090,00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663.056,31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32.320.147,80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646.402,96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0,97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87" w:rsidRPr="00BF0220" w:rsidRDefault="00393B87" w:rsidP="0082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 xml:space="preserve">49,72 </w:t>
            </w:r>
          </w:p>
        </w:tc>
      </w:tr>
    </w:tbl>
    <w:p w:rsidR="00BF0220" w:rsidRDefault="00BF0220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316B09" w:rsidRDefault="00316B09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BF0220" w:rsidRDefault="00BF0220" w:rsidP="00827018">
      <w:pPr>
        <w:pStyle w:val="BodyText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BF0220">
        <w:rPr>
          <w:rFonts w:ascii="Times New Roman" w:hAnsi="Times New Roman"/>
          <w:b/>
          <w:bCs/>
          <w:szCs w:val="24"/>
          <w:lang w:val="ro-RO"/>
        </w:rPr>
        <w:t>Componenta de ajustare</w:t>
      </w:r>
    </w:p>
    <w:p w:rsidR="00BA024E" w:rsidRDefault="00BA024E" w:rsidP="0047732F">
      <w:pPr>
        <w:pStyle w:val="BodyText2"/>
        <w:spacing w:after="0"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Componenta de ajustare</w:t>
      </w:r>
      <w:r w:rsidR="0047732F">
        <w:rPr>
          <w:rFonts w:ascii="Times New Roman" w:hAnsi="Times New Roman"/>
          <w:bCs/>
          <w:szCs w:val="24"/>
          <w:lang w:val="ro-RO"/>
        </w:rPr>
        <w:t xml:space="preserve"> s-a determinat pentru semestrul I 2020</w:t>
      </w:r>
      <w:r>
        <w:rPr>
          <w:rFonts w:ascii="Times New Roman" w:hAnsi="Times New Roman"/>
          <w:bCs/>
          <w:szCs w:val="24"/>
          <w:lang w:val="ro-RO"/>
        </w:rPr>
        <w:t>, conform prevederilor art. 5 alin. (7) din Metodologie, utilizând următoarea formulă de calcul:</w:t>
      </w:r>
    </w:p>
    <w:p w:rsidR="00BA024E" w:rsidRPr="0047732F" w:rsidRDefault="00856D04" w:rsidP="00BA024E">
      <w:pPr>
        <w:pStyle w:val="ListParagraph"/>
        <w:tabs>
          <w:tab w:val="left" w:pos="851"/>
        </w:tabs>
        <w:spacing w:after="120" w:line="360" w:lineRule="auto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aj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TR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sub>
              <m:sup/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pe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pe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NC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pe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TR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BA024E" w:rsidRPr="0047732F">
        <w:rPr>
          <w:sz w:val="24"/>
          <w:szCs w:val="24"/>
        </w:rPr>
        <w:t xml:space="preserve"> [lei/MWh]</w:t>
      </w:r>
    </w:p>
    <w:p w:rsidR="00BA024E" w:rsidRPr="00BA024E" w:rsidRDefault="00BA024E" w:rsidP="00BA024E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A024E">
        <w:rPr>
          <w:rFonts w:ascii="Times New Roman" w:hAnsi="Times New Roman"/>
          <w:sz w:val="24"/>
          <w:szCs w:val="24"/>
        </w:rPr>
        <w:t>unde:</w:t>
      </w:r>
    </w:p>
    <w:p w:rsidR="00BA024E" w:rsidRPr="00BA024E" w:rsidRDefault="00856D04" w:rsidP="00C30A5E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SC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e</m:t>
            </m:r>
          </m:sub>
          <m:sup/>
        </m:sSubSup>
      </m:oMath>
      <w:r w:rsidR="00BA024E" w:rsidRPr="00BA024E">
        <w:rPr>
          <w:rFonts w:ascii="Times New Roman" w:hAnsi="Times New Roman"/>
          <w:sz w:val="24"/>
          <w:szCs w:val="24"/>
        </w:rPr>
        <w:t xml:space="preserve"> – soldul corecţiilor aferente perioadei anterioare datei de 01.03.2019</w:t>
      </w:r>
      <w:r w:rsidR="00C30A5E">
        <w:rPr>
          <w:rFonts w:ascii="Times New Roman" w:hAnsi="Times New Roman"/>
          <w:sz w:val="24"/>
          <w:szCs w:val="24"/>
        </w:rPr>
        <w:t>;</w:t>
      </w:r>
      <w:r w:rsidR="00BA024E" w:rsidRPr="00BA024E">
        <w:rPr>
          <w:rFonts w:ascii="Times New Roman" w:hAnsi="Times New Roman"/>
          <w:sz w:val="24"/>
          <w:szCs w:val="24"/>
        </w:rPr>
        <w:t xml:space="preserve"> </w:t>
      </w:r>
    </w:p>
    <w:p w:rsidR="00BA024E" w:rsidRPr="00BA024E" w:rsidRDefault="00856D04" w:rsidP="00BA024E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e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TR</m:t>
            </m:r>
          </m:sup>
        </m:sSubSup>
      </m:oMath>
      <w:r w:rsidR="00BA024E" w:rsidRPr="00BA024E">
        <w:rPr>
          <w:rFonts w:ascii="Times New Roman" w:hAnsi="Times New Roman"/>
          <w:sz w:val="24"/>
          <w:szCs w:val="24"/>
        </w:rPr>
        <w:t xml:space="preserve"> – corecţia estimată pentru perioada 01.03.2019 – 31.12.2019, rezultată din aplicarea tarifelor reglementate, determinată în conformitate cu reglementările aplicabile [lei]. </w:t>
      </w:r>
    </w:p>
    <w:p w:rsidR="00BA024E" w:rsidRPr="00BA024E" w:rsidRDefault="00856D04" w:rsidP="00BA024E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pe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TR</m:t>
            </m:r>
          </m:sup>
        </m:sSubSup>
      </m:oMath>
      <w:r w:rsidR="00BA024E" w:rsidRPr="00BA024E">
        <w:rPr>
          <w:rFonts w:ascii="Times New Roman" w:hAnsi="Times New Roman"/>
          <w:sz w:val="24"/>
          <w:szCs w:val="24"/>
        </w:rPr>
        <w:t xml:space="preserve"> – consumul de energie electrică al clienţilor casnici ai FUI, previzionat pentru anul 2020;</w:t>
      </w:r>
    </w:p>
    <w:p w:rsidR="0054054F" w:rsidRPr="00C30A5E" w:rsidRDefault="00856D04" w:rsidP="00C30A5E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pe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NC</m:t>
            </m:r>
          </m:sup>
        </m:sSubSup>
      </m:oMath>
      <w:r w:rsidR="00BA024E" w:rsidRPr="00BA024E">
        <w:rPr>
          <w:rFonts w:ascii="Times New Roman" w:hAnsi="Times New Roman"/>
          <w:sz w:val="24"/>
          <w:szCs w:val="24"/>
        </w:rPr>
        <w:t>- consumul de energie electrică al clienţilor noncasnici ai FUI</w:t>
      </w:r>
      <w:r w:rsidR="00C30A5E">
        <w:rPr>
          <w:rFonts w:ascii="Times New Roman" w:hAnsi="Times New Roman"/>
          <w:sz w:val="24"/>
          <w:szCs w:val="24"/>
        </w:rPr>
        <w:t>, previzionat pentru anul 2020.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1843"/>
        <w:gridCol w:w="1701"/>
        <w:gridCol w:w="2126"/>
        <w:gridCol w:w="1984"/>
      </w:tblGrid>
      <w:tr w:rsidR="00BF0220" w:rsidRPr="00BF0220" w:rsidTr="00C30A5E">
        <w:trPr>
          <w:trHeight w:val="4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FUI obligati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Zona de retea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Valoare corectii</w:t>
            </w:r>
            <w:r w:rsidR="00DE4A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incluse in calculul tarifelor reglementate</w:t>
            </w: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br/>
              <w:t>(lei)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C30A5E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P</w:t>
            </w:r>
            <w:r w:rsidR="00BF0220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rognoza consum </w:t>
            </w:r>
            <w:r w:rsidR="00DE4A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clienti casnici la tarife reglementate </w:t>
            </w:r>
            <w:r w:rsidR="00BF0220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an 2020</w:t>
            </w:r>
            <w:r w:rsidR="00BF0220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br/>
              <w:t>(MWh)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Componenta de ajustare</w:t>
            </w: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br/>
              <w:t>(lei/MWh)</w:t>
            </w:r>
            <w:r w:rsidR="00BA02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*</w:t>
            </w:r>
          </w:p>
        </w:tc>
      </w:tr>
      <w:tr w:rsidR="00BF0220" w:rsidRPr="00BF0220" w:rsidTr="00C30A5E">
        <w:trPr>
          <w:trHeight w:val="46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BA02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CEZ </w:t>
            </w:r>
            <w:r w:rsidR="00CD0844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V</w:t>
            </w:r>
            <w:r w:rsidR="00CD08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â</w:t>
            </w:r>
            <w:r w:rsidR="00CD0844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nzare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Oltenia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95EA6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95EA6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17.058.042,13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1.096.725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15,55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Energie Muntenia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Sud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14.307.541,11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839.178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17,05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Banat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9.166.763,29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377.068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24,31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Dobrogea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6.182.358,33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238.721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25,90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5F05E5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EON Energie Româ</w:t>
            </w:r>
            <w:r w:rsidR="00DE4A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Moldova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31.609.451,27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1.299.541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24,32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2C2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Electrica Furnizare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Nord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45.434.497,34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1.554.668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29,22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Nord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45.925.414,14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1.518.011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30,25</w:t>
            </w:r>
          </w:p>
        </w:tc>
      </w:tr>
      <w:tr w:rsidR="00BF0220" w:rsidRPr="00BF0220" w:rsidTr="00C30A5E">
        <w:trPr>
          <w:trHeight w:val="2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20" w:rsidRPr="00BF0220" w:rsidRDefault="00BF0220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BF0220" w:rsidP="00856D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Sud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48.430.006,95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DE4A0B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1.326.113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20" w:rsidRPr="00BF0220" w:rsidRDefault="00393B87" w:rsidP="00882A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36,52</w:t>
            </w:r>
          </w:p>
        </w:tc>
      </w:tr>
      <w:tr w:rsidR="00C30A5E" w:rsidRPr="00BF0220" w:rsidTr="00C30A5E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A5E" w:rsidRPr="00BF0220" w:rsidRDefault="00C30A5E" w:rsidP="005028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C30A5E">
              <w:rPr>
                <w:bCs/>
                <w:lang w:eastAsia="ro-RO"/>
              </w:rPr>
              <w:t>*</w:t>
            </w:r>
            <w:r w:rsidR="00882AE4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Semnul (+</w:t>
            </w: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) semnifică pierdere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0A5E" w:rsidRDefault="00C30A5E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0A5E" w:rsidRPr="00BF0220" w:rsidRDefault="00C30A5E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C30A5E" w:rsidRDefault="00C30A5E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</w:tbl>
    <w:p w:rsidR="007839BF" w:rsidRDefault="007839BF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BF0220" w:rsidRPr="0036044A" w:rsidRDefault="00C30A5E" w:rsidP="00827018">
      <w:pPr>
        <w:pStyle w:val="BodyText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Costul unitar al serviciilor</w:t>
      </w:r>
      <w:r w:rsidR="00DE4A0B">
        <w:rPr>
          <w:rFonts w:ascii="Times New Roman" w:hAnsi="Times New Roman"/>
          <w:b/>
          <w:bCs/>
          <w:szCs w:val="24"/>
          <w:lang w:val="ro-RO"/>
        </w:rPr>
        <w:t xml:space="preserve"> </w:t>
      </w:r>
    </w:p>
    <w:tbl>
      <w:tblPr>
        <w:tblW w:w="1049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709"/>
        <w:gridCol w:w="1750"/>
        <w:gridCol w:w="1171"/>
        <w:gridCol w:w="1172"/>
        <w:gridCol w:w="1172"/>
        <w:gridCol w:w="1172"/>
        <w:gridCol w:w="1172"/>
        <w:gridCol w:w="1172"/>
      </w:tblGrid>
      <w:tr w:rsidR="0046466D" w:rsidRPr="00BF0220" w:rsidTr="00C30A5E">
        <w:trPr>
          <w:trHeight w:val="420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FUI obligati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Zona de retea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BF0220" w:rsidRDefault="0046466D" w:rsidP="00BA0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Tg</w:t>
            </w:r>
            <w:r w:rsidR="00BA02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*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66D" w:rsidRPr="00BF0220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Cost</w:t>
            </w:r>
            <w:r w:rsidRPr="00765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PC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 SS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o-RO"/>
              </w:rPr>
              <w:t>TL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TD MT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TD JT</w:t>
            </w:r>
          </w:p>
        </w:tc>
      </w:tr>
      <w:tr w:rsidR="0046466D" w:rsidRPr="00BF0220" w:rsidTr="00C30A5E">
        <w:trPr>
          <w:trHeight w:val="345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46466D" w:rsidRDefault="0046466D" w:rsidP="0082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46466D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BF0220" w:rsidRDefault="0046466D" w:rsidP="00BA0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BF0220" w:rsidRDefault="0046466D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5F05E5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CEZ Vâ</w:t>
            </w:r>
            <w:r w:rsidR="0076539B"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nzare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Oltenia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72,98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195,9</w:t>
            </w:r>
            <w:r w:rsidR="00DE4A0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</w:t>
            </w:r>
            <w:r w:rsidR="005F05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ergie Muntenia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Sud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42,67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158,34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Energie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Banat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52,39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161,93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Dobrogea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61,85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195,87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5F05E5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EON Energie România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Moldova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61,99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194,23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Electrica Furnizare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Nord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54,09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180,15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Nord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65,48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171,98</w:t>
            </w:r>
          </w:p>
        </w:tc>
      </w:tr>
      <w:tr w:rsidR="0046466D" w:rsidRPr="00BF0220" w:rsidTr="00C30A5E">
        <w:trPr>
          <w:trHeight w:val="255"/>
        </w:trPr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Sud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1,30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C30A5E" w:rsidRDefault="0076539B" w:rsidP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C30A5E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62,49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B" w:rsidRPr="00BF0220" w:rsidRDefault="0076539B" w:rsidP="00765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169,01</w:t>
            </w:r>
          </w:p>
        </w:tc>
      </w:tr>
      <w:tr w:rsidR="003913E1" w:rsidRPr="00BF0220" w:rsidTr="003913E1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3E1" w:rsidRPr="00BF0220" w:rsidRDefault="003913E1" w:rsidP="00827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* este inclus in pretul mediu de achizitie,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î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 cadrul componentei de achizi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ț</w:t>
            </w: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ie</w:t>
            </w:r>
          </w:p>
        </w:tc>
      </w:tr>
    </w:tbl>
    <w:p w:rsidR="00827018" w:rsidRDefault="00827018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u</w:t>
      </w:r>
      <w:r w:rsidRPr="00827018">
        <w:rPr>
          <w:rFonts w:ascii="Times New Roman" w:hAnsi="Times New Roman"/>
          <w:bCs/>
          <w:szCs w:val="24"/>
          <w:lang w:val="ro-RO"/>
        </w:rPr>
        <w:t>nde:</w:t>
      </w:r>
    </w:p>
    <w:p w:rsidR="00827018" w:rsidRDefault="00827018" w:rsidP="00827018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 xml:space="preserve">Tg </w:t>
      </w:r>
      <w:r w:rsidR="00C30A5E">
        <w:rPr>
          <w:rFonts w:ascii="Times New Roman" w:hAnsi="Times New Roman"/>
          <w:bCs/>
          <w:szCs w:val="24"/>
          <w:lang w:val="ro-RO"/>
        </w:rPr>
        <w:t>-</w:t>
      </w:r>
      <w:r w:rsidRPr="00827018">
        <w:rPr>
          <w:rFonts w:ascii="Times New Roman" w:hAnsi="Times New Roman"/>
          <w:bCs/>
          <w:szCs w:val="24"/>
          <w:lang w:val="ro-RO"/>
        </w:rPr>
        <w:t xml:space="preserve"> componenta tarifului de transport de introducere a energiei electrice în rețea</w:t>
      </w:r>
      <w:r w:rsidR="00270E4F">
        <w:rPr>
          <w:rFonts w:ascii="Times New Roman" w:hAnsi="Times New Roman"/>
          <w:bCs/>
          <w:szCs w:val="24"/>
          <w:lang w:val="ro-RO"/>
        </w:rPr>
        <w:t>, aprobată prin Ordinul președintelul ANRE nr. 218/2019</w:t>
      </w:r>
      <w:r w:rsidR="00856D04">
        <w:rPr>
          <w:rFonts w:ascii="Times New Roman" w:hAnsi="Times New Roman"/>
          <w:bCs/>
          <w:szCs w:val="24"/>
          <w:lang w:val="ro-RO"/>
        </w:rPr>
        <w:t>;</w:t>
      </w:r>
    </w:p>
    <w:p w:rsidR="0046466D" w:rsidRDefault="00C30A5E" w:rsidP="00827018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Cost PC -</w:t>
      </w:r>
      <w:r w:rsidR="005F05E5">
        <w:rPr>
          <w:rFonts w:ascii="Times New Roman" w:hAnsi="Times New Roman"/>
          <w:bCs/>
          <w:szCs w:val="24"/>
          <w:lang w:val="ro-RO"/>
        </w:rPr>
        <w:t xml:space="preserve"> costul previzionat de către FUI aferent participării pe pieț</w:t>
      </w:r>
      <w:r w:rsidR="0046466D">
        <w:rPr>
          <w:rFonts w:ascii="Times New Roman" w:hAnsi="Times New Roman"/>
          <w:bCs/>
          <w:szCs w:val="24"/>
          <w:lang w:val="ro-RO"/>
        </w:rPr>
        <w:t>ele</w:t>
      </w:r>
      <w:r w:rsidR="005F05E5">
        <w:rPr>
          <w:rFonts w:ascii="Times New Roman" w:hAnsi="Times New Roman"/>
          <w:bCs/>
          <w:szCs w:val="24"/>
          <w:lang w:val="ro-RO"/>
        </w:rPr>
        <w:t xml:space="preserve"> centralizate administrate de că</w:t>
      </w:r>
      <w:r w:rsidR="0046466D">
        <w:rPr>
          <w:rFonts w:ascii="Times New Roman" w:hAnsi="Times New Roman"/>
          <w:bCs/>
          <w:szCs w:val="24"/>
          <w:lang w:val="ro-RO"/>
        </w:rPr>
        <w:t>tre OPCOM</w:t>
      </w:r>
      <w:r w:rsidR="00856D04">
        <w:rPr>
          <w:rFonts w:ascii="Times New Roman" w:hAnsi="Times New Roman"/>
          <w:bCs/>
          <w:szCs w:val="24"/>
          <w:lang w:val="ro-RO"/>
        </w:rPr>
        <w:t>;</w:t>
      </w:r>
    </w:p>
    <w:p w:rsidR="00827018" w:rsidRDefault="00C30A5E" w:rsidP="00827018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T SS -</w:t>
      </w:r>
      <w:r w:rsidR="00827018">
        <w:rPr>
          <w:rFonts w:ascii="Times New Roman" w:hAnsi="Times New Roman"/>
          <w:bCs/>
          <w:szCs w:val="24"/>
          <w:lang w:val="ro-RO"/>
        </w:rPr>
        <w:t xml:space="preserve"> t</w:t>
      </w:r>
      <w:r>
        <w:rPr>
          <w:rFonts w:ascii="Times New Roman" w:hAnsi="Times New Roman"/>
          <w:bCs/>
          <w:szCs w:val="24"/>
          <w:lang w:val="ro-RO"/>
        </w:rPr>
        <w:t>arif reglementat pentru serviciul</w:t>
      </w:r>
      <w:r w:rsidR="00827018">
        <w:rPr>
          <w:rFonts w:ascii="Times New Roman" w:hAnsi="Times New Roman"/>
          <w:bCs/>
          <w:szCs w:val="24"/>
          <w:lang w:val="ro-RO"/>
        </w:rPr>
        <w:t xml:space="preserve"> de sistem</w:t>
      </w:r>
      <w:r w:rsidR="00270E4F">
        <w:rPr>
          <w:rFonts w:ascii="Times New Roman" w:hAnsi="Times New Roman"/>
          <w:bCs/>
          <w:szCs w:val="24"/>
          <w:lang w:val="ro-RO"/>
        </w:rPr>
        <w:t xml:space="preserve">, aprobat prin Ordinul președintelul ANRE nr. </w:t>
      </w:r>
      <w:r w:rsidR="007E0438">
        <w:rPr>
          <w:rFonts w:ascii="Times New Roman" w:hAnsi="Times New Roman"/>
          <w:bCs/>
          <w:szCs w:val="24"/>
          <w:lang w:val="ro-RO"/>
        </w:rPr>
        <w:t>218</w:t>
      </w:r>
      <w:r w:rsidR="00270E4F">
        <w:rPr>
          <w:rFonts w:ascii="Times New Roman" w:hAnsi="Times New Roman"/>
          <w:bCs/>
          <w:szCs w:val="24"/>
          <w:lang w:val="ro-RO"/>
        </w:rPr>
        <w:t>/2019</w:t>
      </w:r>
      <w:r w:rsidR="00856D04">
        <w:rPr>
          <w:rFonts w:ascii="Times New Roman" w:hAnsi="Times New Roman"/>
          <w:bCs/>
          <w:szCs w:val="24"/>
          <w:lang w:val="ro-RO"/>
        </w:rPr>
        <w:t>;</w:t>
      </w:r>
    </w:p>
    <w:p w:rsidR="00827018" w:rsidRDefault="00C30A5E" w:rsidP="00827018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TL -</w:t>
      </w:r>
      <w:r w:rsidR="00827018">
        <w:rPr>
          <w:rFonts w:ascii="Times New Roman" w:hAnsi="Times New Roman"/>
          <w:bCs/>
          <w:szCs w:val="24"/>
          <w:lang w:val="ro-RO"/>
        </w:rPr>
        <w:t xml:space="preserve"> 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componenta tarifului de transport de </w:t>
      </w:r>
      <w:r w:rsidR="00827018">
        <w:rPr>
          <w:rFonts w:ascii="Times New Roman" w:hAnsi="Times New Roman"/>
          <w:bCs/>
          <w:szCs w:val="24"/>
          <w:lang w:val="ro-RO"/>
        </w:rPr>
        <w:t>extragere</w:t>
      </w:r>
      <w:r w:rsidR="00827018" w:rsidRPr="00827018">
        <w:rPr>
          <w:rFonts w:ascii="Times New Roman" w:hAnsi="Times New Roman"/>
          <w:bCs/>
          <w:szCs w:val="24"/>
          <w:lang w:val="ro-RO"/>
        </w:rPr>
        <w:t xml:space="preserve"> a energiei electrice </w:t>
      </w:r>
      <w:r w:rsidR="00827018">
        <w:rPr>
          <w:rFonts w:ascii="Times New Roman" w:hAnsi="Times New Roman"/>
          <w:bCs/>
          <w:szCs w:val="24"/>
          <w:lang w:val="ro-RO"/>
        </w:rPr>
        <w:t>di</w:t>
      </w:r>
      <w:r w:rsidR="00827018" w:rsidRPr="00827018">
        <w:rPr>
          <w:rFonts w:ascii="Times New Roman" w:hAnsi="Times New Roman"/>
          <w:bCs/>
          <w:szCs w:val="24"/>
          <w:lang w:val="ro-RO"/>
        </w:rPr>
        <w:t>n rețea</w:t>
      </w:r>
      <w:r w:rsidR="007E0438">
        <w:rPr>
          <w:rFonts w:ascii="Times New Roman" w:hAnsi="Times New Roman"/>
          <w:bCs/>
          <w:szCs w:val="24"/>
          <w:lang w:val="ro-RO"/>
        </w:rPr>
        <w:t>,</w:t>
      </w:r>
      <w:r w:rsidR="007E0438" w:rsidRPr="007E0438">
        <w:rPr>
          <w:rFonts w:ascii="Times New Roman" w:hAnsi="Times New Roman"/>
          <w:bCs/>
          <w:szCs w:val="24"/>
          <w:lang w:val="ro-RO"/>
        </w:rPr>
        <w:t xml:space="preserve"> </w:t>
      </w:r>
      <w:r w:rsidR="007E0438">
        <w:rPr>
          <w:rFonts w:ascii="Times New Roman" w:hAnsi="Times New Roman"/>
          <w:bCs/>
          <w:szCs w:val="24"/>
          <w:lang w:val="ro-RO"/>
        </w:rPr>
        <w:t>aprobată prin Ordinul președintelul ANRE nr. 218/2019</w:t>
      </w:r>
      <w:r w:rsidR="00856D04">
        <w:rPr>
          <w:rFonts w:ascii="Times New Roman" w:hAnsi="Times New Roman"/>
          <w:bCs/>
          <w:szCs w:val="24"/>
          <w:lang w:val="ro-RO"/>
        </w:rPr>
        <w:t>;</w:t>
      </w:r>
    </w:p>
    <w:p w:rsidR="00856D04" w:rsidRDefault="00856D04" w:rsidP="00827018">
      <w:pPr>
        <w:pStyle w:val="BodyText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 xml:space="preserve">TD MT/JT - tarife pentru serviciul de distribuție pentru medie tensiune/joasă tensiune, </w:t>
      </w:r>
      <w:r w:rsidRPr="00C30A5E">
        <w:rPr>
          <w:rFonts w:ascii="Times New Roman" w:hAnsi="Times New Roman"/>
          <w:bCs/>
          <w:szCs w:val="24"/>
          <w:lang w:val="ro-RO"/>
        </w:rPr>
        <w:t>aprobate prin Ordin</w:t>
      </w:r>
      <w:r>
        <w:rPr>
          <w:rFonts w:ascii="Times New Roman" w:hAnsi="Times New Roman"/>
          <w:bCs/>
          <w:szCs w:val="24"/>
          <w:lang w:val="ro-RO"/>
        </w:rPr>
        <w:t>ele</w:t>
      </w:r>
      <w:r w:rsidRPr="00C30A5E">
        <w:rPr>
          <w:rFonts w:ascii="Times New Roman" w:hAnsi="Times New Roman"/>
          <w:bCs/>
          <w:szCs w:val="24"/>
          <w:lang w:val="ro-RO"/>
        </w:rPr>
        <w:t xml:space="preserve"> președintelui ANRE</w:t>
      </w:r>
      <w:r>
        <w:rPr>
          <w:rFonts w:ascii="Times New Roman" w:hAnsi="Times New Roman"/>
          <w:bCs/>
          <w:szCs w:val="24"/>
          <w:lang w:val="ro-RO"/>
        </w:rPr>
        <w:t xml:space="preserve"> nr. 222/2019, nr. 223/2019, nr. 224/2019, nr. 225/2019, nr. 226/2019, nr. 227/2019, nr. 228/2019 </w:t>
      </w:r>
      <w:r w:rsidRPr="00C30A5E">
        <w:rPr>
          <w:rFonts w:ascii="Times New Roman" w:hAnsi="Times New Roman"/>
          <w:bCs/>
          <w:szCs w:val="24"/>
          <w:lang w:val="ro-RO"/>
        </w:rPr>
        <w:t>ș</w:t>
      </w:r>
      <w:r>
        <w:rPr>
          <w:rFonts w:ascii="Times New Roman" w:hAnsi="Times New Roman"/>
          <w:bCs/>
          <w:szCs w:val="24"/>
          <w:lang w:val="ro-RO"/>
        </w:rPr>
        <w:t>i nr. 229/2019.</w:t>
      </w:r>
    </w:p>
    <w:p w:rsidR="007E0438" w:rsidRPr="008C0E63" w:rsidRDefault="007E0438" w:rsidP="007E0438">
      <w:pPr>
        <w:spacing w:line="360" w:lineRule="auto"/>
        <w:ind w:left="1440"/>
        <w:jc w:val="both"/>
        <w:rPr>
          <w:rFonts w:cs="TimesRomanR"/>
          <w:sz w:val="18"/>
          <w:highlight w:val="yellow"/>
        </w:rPr>
      </w:pPr>
    </w:p>
    <w:p w:rsidR="00393B87" w:rsidRDefault="00393B87" w:rsidP="00827018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</w:p>
    <w:p w:rsidR="00393B87" w:rsidRDefault="00393B87" w:rsidP="00827018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</w:p>
    <w:p w:rsidR="00393B87" w:rsidRDefault="00393B87" w:rsidP="00827018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</w:pPr>
    </w:p>
    <w:p w:rsidR="00393B87" w:rsidRDefault="00393B87" w:rsidP="0046466D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Cs w:val="24"/>
          <w:lang w:val="ro-RO"/>
        </w:rPr>
        <w:sectPr w:rsidR="00393B87" w:rsidSect="00293AEC">
          <w:footerReference w:type="default" r:id="rId7"/>
          <w:headerReference w:type="first" r:id="rId8"/>
          <w:footerReference w:type="first" r:id="rId9"/>
          <w:pgSz w:w="11906" w:h="16838" w:code="9"/>
          <w:pgMar w:top="1135" w:right="991" w:bottom="1276" w:left="1418" w:header="850" w:footer="283" w:gutter="0"/>
          <w:cols w:space="708"/>
          <w:titlePg/>
          <w:docGrid w:linePitch="360"/>
        </w:sectPr>
      </w:pPr>
    </w:p>
    <w:p w:rsidR="00882AE4" w:rsidRDefault="00882AE4" w:rsidP="00882AE4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Cs w:val="24"/>
          <w:lang w:val="ro-RO"/>
        </w:rPr>
      </w:pPr>
    </w:p>
    <w:p w:rsidR="00BF0220" w:rsidRPr="005F05E5" w:rsidRDefault="00827018" w:rsidP="00882AE4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Cs w:val="24"/>
          <w:u w:val="single"/>
          <w:lang w:val="ro-RO"/>
        </w:rPr>
      </w:pPr>
      <w:r w:rsidRPr="005F05E5">
        <w:rPr>
          <w:rFonts w:ascii="Times New Roman" w:hAnsi="Times New Roman"/>
          <w:b/>
          <w:bCs/>
          <w:szCs w:val="24"/>
          <w:u w:val="single"/>
          <w:lang w:val="ro-RO"/>
        </w:rPr>
        <w:t>Tarife nominale FUI obliga</w:t>
      </w:r>
      <w:r w:rsidR="00856D04">
        <w:rPr>
          <w:rFonts w:ascii="Times New Roman" w:hAnsi="Times New Roman"/>
          <w:b/>
          <w:bCs/>
          <w:szCs w:val="24"/>
          <w:u w:val="single"/>
          <w:lang w:val="ro-RO"/>
        </w:rPr>
        <w:t>ț</w:t>
      </w:r>
      <w:r w:rsidRPr="005F05E5">
        <w:rPr>
          <w:rFonts w:ascii="Times New Roman" w:hAnsi="Times New Roman"/>
          <w:b/>
          <w:bCs/>
          <w:szCs w:val="24"/>
          <w:u w:val="single"/>
          <w:lang w:val="ro-RO"/>
        </w:rPr>
        <w:t>i sem I 2020</w:t>
      </w:r>
    </w:p>
    <w:p w:rsidR="00827018" w:rsidRDefault="00827018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tbl>
      <w:tblPr>
        <w:tblW w:w="14418" w:type="dxa"/>
        <w:jc w:val="center"/>
        <w:tblLook w:val="04A0" w:firstRow="1" w:lastRow="0" w:firstColumn="1" w:lastColumn="0" w:noHBand="0" w:noVBand="1"/>
      </w:tblPr>
      <w:tblGrid>
        <w:gridCol w:w="1859"/>
        <w:gridCol w:w="1575"/>
        <w:gridCol w:w="1317"/>
        <w:gridCol w:w="1329"/>
        <w:gridCol w:w="1405"/>
        <w:gridCol w:w="939"/>
        <w:gridCol w:w="939"/>
        <w:gridCol w:w="945"/>
        <w:gridCol w:w="939"/>
        <w:gridCol w:w="939"/>
        <w:gridCol w:w="1063"/>
        <w:gridCol w:w="1169"/>
      </w:tblGrid>
      <w:tr w:rsidR="0046466D" w:rsidRPr="00827018" w:rsidTr="00882AE4">
        <w:trPr>
          <w:trHeight w:val="255"/>
          <w:jc w:val="center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5F05E5" w:rsidP="0082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FUI obligaț</w:t>
            </w:r>
            <w:r w:rsidR="0046466D"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5F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Zona de reț</w:t>
            </w:r>
            <w:r w:rsidR="0046466D"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ea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 w:rsidP="0085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Componenta de achizi</w:t>
            </w:r>
            <w:r w:rsidR="00856D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ț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ie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Componenta de furnizare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Componenta de ajustare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Cost PC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TL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 SS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Tarif distributie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Tarif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</w:t>
            </w: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nominale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827018" w:rsidRDefault="0046466D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827018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JT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6D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JT</w:t>
            </w:r>
          </w:p>
        </w:tc>
      </w:tr>
      <w:tr w:rsidR="0076539B" w:rsidRPr="00827018" w:rsidTr="00882AE4">
        <w:trPr>
          <w:trHeight w:val="255"/>
          <w:jc w:val="center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39B" w:rsidRPr="00827018" w:rsidRDefault="0076539B" w:rsidP="00765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39B" w:rsidRPr="00827018" w:rsidRDefault="0076539B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539B" w:rsidRPr="00827018" w:rsidRDefault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9B" w:rsidRPr="00827018" w:rsidRDefault="00765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lei/MWh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5F05E5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CEZ Vâ</w:t>
            </w:r>
            <w:r w:rsidR="0046466D"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nzare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Oltenia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186,66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56,56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15,55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72,98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195,9</w:t>
            </w:r>
            <w:r w:rsidR="00856D0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363,73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486,65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5F05E5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Energie Muntenia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Sud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174,98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34,14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17,05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42,67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158,34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301,11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416,78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Enel Energie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Banat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194,05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40,97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24,31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52,39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161,93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343,99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453,53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Dobrogea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170,47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40,97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25,90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61,85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195,87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331,46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465,48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5F05E5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EON Energie România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Moldova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58,34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24,32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61,99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194,23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358,05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490,29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Electrica Furnizare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Muntenia Nord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48,06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54,09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180,15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344,53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470,59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Nord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181,66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49,02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65,48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171,98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358,46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464,96</w:t>
            </w:r>
          </w:p>
        </w:tc>
      </w:tr>
      <w:tr w:rsidR="0046466D" w:rsidRPr="00827018" w:rsidTr="00882AE4">
        <w:trPr>
          <w:trHeight w:val="255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Transilvania Sud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43580B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358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171,71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88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49,72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36,52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62,49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6D" w:rsidRPr="00BF0220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BF0220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169,01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352,49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D" w:rsidRPr="00827018" w:rsidRDefault="0046466D" w:rsidP="0046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827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459,01</w:t>
            </w:r>
          </w:p>
        </w:tc>
      </w:tr>
    </w:tbl>
    <w:p w:rsidR="00827018" w:rsidRDefault="00827018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p w:rsidR="00E05DC8" w:rsidRPr="00D737E6" w:rsidRDefault="00E05DC8" w:rsidP="00827018">
      <w:pPr>
        <w:pStyle w:val="BodyText2"/>
        <w:spacing w:after="0" w:line="360" w:lineRule="auto"/>
        <w:jc w:val="both"/>
        <w:rPr>
          <w:rFonts w:ascii="Times New Roman" w:hAnsi="Times New Roman"/>
          <w:bCs/>
          <w:szCs w:val="24"/>
          <w:lang w:val="ro-RO"/>
        </w:rPr>
      </w:pPr>
    </w:p>
    <w:sectPr w:rsidR="00E05DC8" w:rsidRPr="00D737E6" w:rsidSect="00393B87">
      <w:headerReference w:type="first" r:id="rId10"/>
      <w:footerReference w:type="first" r:id="rId11"/>
      <w:pgSz w:w="16838" w:h="11906" w:orient="landscape" w:code="9"/>
      <w:pgMar w:top="1418" w:right="1134" w:bottom="992" w:left="1276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42" w:rsidRDefault="00502842" w:rsidP="003B4C37">
      <w:pPr>
        <w:spacing w:after="0" w:line="240" w:lineRule="auto"/>
      </w:pPr>
      <w:r>
        <w:separator/>
      </w:r>
    </w:p>
  </w:endnote>
  <w:endnote w:type="continuationSeparator" w:id="0">
    <w:p w:rsidR="00502842" w:rsidRDefault="00502842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42" w:rsidRDefault="005028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D04">
      <w:rPr>
        <w:noProof/>
      </w:rPr>
      <w:t>6</w:t>
    </w:r>
    <w:r>
      <w:rPr>
        <w:noProof/>
      </w:rPr>
      <w:fldChar w:fldCharType="end"/>
    </w:r>
  </w:p>
  <w:p w:rsidR="00502842" w:rsidRDefault="005028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42" w:rsidRDefault="00502842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 w:rsidRPr="00C473AD">
      <w:rPr>
        <w:rFonts w:ascii="Arial" w:hAnsi="Arial" w:cs="Arial"/>
        <w:sz w:val="16"/>
      </w:rPr>
      <w:t>Str. Constantin Nacu, nr. 3, Sector 2, Bucureşti, Cod poştal: 020995</w:t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>
      <w:rPr>
        <w:rFonts w:ascii="Arial" w:hAnsi="Arial" w:cs="Arial"/>
        <w:noProof/>
        <w:sz w:val="16"/>
        <w:lang w:eastAsia="ro-RO"/>
      </w:rPr>
      <w:drawing>
        <wp:inline distT="0" distB="0" distL="0" distR="0">
          <wp:extent cx="352425" cy="352425"/>
          <wp:effectExtent l="0" t="0" r="9525" b="9525"/>
          <wp:docPr id="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lang w:eastAsia="ro-RO"/>
      </w:rPr>
      <w:drawing>
        <wp:inline distT="0" distB="0" distL="0" distR="0">
          <wp:extent cx="352425" cy="352425"/>
          <wp:effectExtent l="0" t="0" r="9525" b="9525"/>
          <wp:docPr id="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842" w:rsidRDefault="00502842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  <w:r w:rsidRPr="00A63C0A">
      <w:rPr>
        <w:rFonts w:ascii="Arial" w:hAnsi="Arial" w:cs="Arial"/>
        <w:sz w:val="16"/>
      </w:rPr>
      <w:t xml:space="preserve">Tel: (021) 327 8100. Fax: (021) 312 4365. E-mail: anre@anre.ro. Web: </w:t>
    </w:r>
    <w:hyperlink r:id="rId3" w:history="1">
      <w:r w:rsidRPr="006620FE">
        <w:rPr>
          <w:rStyle w:val="Hyperlink"/>
          <w:rFonts w:ascii="Arial" w:hAnsi="Arial" w:cs="Arial"/>
          <w:sz w:val="16"/>
        </w:rPr>
        <w:t>www.anre.ro</w:t>
      </w:r>
    </w:hyperlink>
  </w:p>
  <w:p w:rsidR="00502842" w:rsidRPr="00030CF7" w:rsidRDefault="00502842" w:rsidP="00C3626E">
    <w:pPr>
      <w:tabs>
        <w:tab w:val="center" w:pos="4864"/>
        <w:tab w:val="left" w:pos="8235"/>
      </w:tabs>
      <w:spacing w:after="40" w:line="240" w:lineRule="auto"/>
      <w:jc w:val="center"/>
      <w:rPr>
        <w:rFonts w:ascii="Arial" w:hAnsi="Arial" w:cs="Arial"/>
        <w:sz w:val="16"/>
      </w:rPr>
    </w:pPr>
    <w:r w:rsidRPr="00030CF7">
      <w:rPr>
        <w:rFonts w:ascii="Arial" w:hAnsi="Arial" w:cs="Arial"/>
        <w:sz w:val="16"/>
      </w:rPr>
      <w:t xml:space="preserve">ANRE, în calitate de operator de date cu caracter personal, respectă prevederile Regulamentului UE nr. 679/2016 şi reglementările </w:t>
    </w:r>
    <w:r>
      <w:rPr>
        <w:rFonts w:ascii="Arial" w:hAnsi="Arial" w:cs="Arial"/>
        <w:sz w:val="16"/>
      </w:rPr>
      <w:t>in</w:t>
    </w:r>
    <w:r w:rsidRPr="00030CF7">
      <w:rPr>
        <w:rFonts w:ascii="Arial" w:hAnsi="Arial" w:cs="Arial"/>
        <w:sz w:val="16"/>
      </w:rPr>
      <w:t>terne în vigoare în mat</w:t>
    </w:r>
    <w:r>
      <w:rPr>
        <w:rFonts w:ascii="Arial" w:hAnsi="Arial" w:cs="Arial"/>
        <w:sz w:val="16"/>
      </w:rPr>
      <w:t>eria protecţiei datelor cu carac</w:t>
    </w:r>
    <w:r w:rsidRPr="00030CF7">
      <w:rPr>
        <w:rFonts w:ascii="Arial" w:hAnsi="Arial" w:cs="Arial"/>
        <w:sz w:val="16"/>
      </w:rPr>
      <w:t>ter personal</w:t>
    </w:r>
  </w:p>
  <w:p w:rsidR="00502842" w:rsidRPr="00160D1D" w:rsidRDefault="00502842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42" w:rsidRPr="00160D1D" w:rsidRDefault="00502842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42" w:rsidRDefault="00502842" w:rsidP="003B4C37">
      <w:pPr>
        <w:spacing w:after="0" w:line="240" w:lineRule="auto"/>
      </w:pPr>
      <w:r>
        <w:separator/>
      </w:r>
    </w:p>
  </w:footnote>
  <w:footnote w:type="continuationSeparator" w:id="0">
    <w:p w:rsidR="00502842" w:rsidRDefault="00502842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42" w:rsidRDefault="00502842" w:rsidP="003927D9">
    <w:pPr>
      <w:pStyle w:val="Header"/>
      <w:tabs>
        <w:tab w:val="clear" w:pos="9026"/>
        <w:tab w:val="right" w:pos="7349"/>
      </w:tabs>
    </w:pPr>
    <w:r w:rsidRPr="00603780">
      <w:rPr>
        <w:rFonts w:ascii="Arial" w:hAnsi="Arial" w:cs="Arial"/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556895</wp:posOffset>
              </wp:positionH>
              <wp:positionV relativeFrom="paragraph">
                <wp:posOffset>-73025</wp:posOffset>
              </wp:positionV>
              <wp:extent cx="5191125" cy="24765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842" w:rsidRPr="00A70B44" w:rsidRDefault="00502842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502842" w:rsidRDefault="00502842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502842" w:rsidRDefault="00502842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502842" w:rsidRPr="004B1447" w:rsidRDefault="00502842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85pt;margin-top:-5.75pt;width:408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+FigIAAHsFAAAOAAAAZHJzL2Uyb0RvYy54bWysVN9v2yAQfp+0/wHxvjrOkna16lRZqk6T&#10;orZaO/WZYEisAseAxM7++h3YTrJuL532YgP33e/v7uq61YrshPM1mJLmZyNKhOFQ1WZd0u9Ptx8+&#10;UeIDMxVTYERJ98LT69n7d1eNLcQYNqAq4QgaMb5obEk3IdgiyzzfCM38GVhhUCjBaRbw6tZZ5ViD&#10;1rXKxqPRedaAq6wDLrzH15tOSGfJvpSCh3spvQhElRRjC+nr0ncVv9nsihVrx+ym5n0Y7B+i0Kw2&#10;6PRg6oYFRrau/sOUrrkDDzKccdAZSFlzkXLAbPLRq2weN8yKlAsWx9tDmfz/M8vvdg+O1FVJLygx&#10;TGOLnkQbyGdoSR6r01hfIOjRIiy0+IxdTpl6uwT+4hGSnWA6BY/oWI1WOh3/mCdBRWzA/lD06IXj&#10;4zS/zPPxlBKOsvHk4nyaupIdta3z4YsATeKhpA6bmiJgu6UP0T8rBkh0ZuC2Vio1VhnSlPT8I5r8&#10;TYIaysQXkSjSm4lpdJGnU9grETHKfBMSS5QSiA+JnGKhHNkxpBXjXJiQipXsIjqiJAbxFsUef4zq&#10;LcpdHoNnMOGgrGsDrmtYnKlj2NXLELLs8H0jfZd3LEFoV21PgRVUe2SAg26CvOW3NXZjyXx4YA5H&#10;BnuLayDc40cqwKpDf6JkA+7n394jHpmMUkoaHMGS+h9b5gQl6qtBjl/mk0mc2XSZTC/GeHGnktWp&#10;xGz1ArAdOS4cy9Mx4oMajtKBfsZtMY9eUcQMR98lDcNxEbrFgNuGi/k8gXBKLQtL82j5QPzItaf2&#10;mTnbEzIgle9gGFZWvOJlh419NTDfBpB1Im0scFfVvvA44YnL/TaKK+T0nlDHnTn7BQAA//8DAFBL&#10;AwQUAAYACAAAACEAcN8J3uAAAAAJAQAADwAAAGRycy9kb3ducmV2LnhtbEyPTUvDQBRF94L/YXiC&#10;u3aSQExM81KK6EYQsRbE3WtmmonOR5yZtvHfO650+biHe89r17PR7CR9GJ1FyJcZMGl7J0Y7IOxe&#10;HxY1sBDJCtLOSoRvGWDdXV601Ah3ti/ytI0DSyU2NISgYpwazkOvpKGwdJO0KTs4byim0w9ceDqn&#10;cqN5kWU33NBo04KiSd4p2X9ujwahqt+F+vCP8+7tafOlnieu74kjXl/NmxWwKOf4B8OvflKHLjnt&#10;3dGKwDRCXVWJRFjkeQksAbdZWQDbIxRVCbxr+f8Puh8AAAD//wMAUEsBAi0AFAAGAAgAAAAhALaD&#10;OJL+AAAA4QEAABMAAAAAAAAAAAAAAAAAAAAAAFtDb250ZW50X1R5cGVzXS54bWxQSwECLQAUAAYA&#10;CAAAACEAOP0h/9YAAACUAQAACwAAAAAAAAAAAAAAAAAvAQAAX3JlbHMvLnJlbHNQSwECLQAUAAYA&#10;CAAAACEAAWBPhYoCAAB7BQAADgAAAAAAAAAAAAAAAAAuAgAAZHJzL2Uyb0RvYy54bWxQSwECLQAU&#10;AAYACAAAACEAcN8J3uAAAAAJAQAADwAAAAAAAAAAAAAAAADkBAAAZHJzL2Rvd25yZXYueG1sUEsF&#10;BgAAAAAEAAQA8wAAAPEFAAAAAA==&#10;" filled="f" stroked="f" strokeweight=".5pt">
              <v:path arrowok="t"/>
              <v:textbox>
                <w:txbxContent>
                  <w:p w:rsidR="00502842" w:rsidRPr="00A70B44" w:rsidRDefault="00502842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502842" w:rsidRDefault="00502842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502842" w:rsidRDefault="00502842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502842" w:rsidRPr="004B1447" w:rsidRDefault="00502842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03780">
      <w:rPr>
        <w:rFonts w:ascii="Arial" w:hAnsi="Arial" w:cs="Arial"/>
        <w:b/>
        <w:noProof/>
        <w:lang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5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780">
      <w:rPr>
        <w:rFonts w:ascii="Arial" w:hAnsi="Arial" w:cs="Arial"/>
        <w:b/>
        <w:noProof/>
        <w:lang w:eastAsia="ro-RO"/>
      </w:rPr>
      <w:drawing>
        <wp:inline distT="0" distB="0" distL="0" distR="0">
          <wp:extent cx="781050" cy="676275"/>
          <wp:effectExtent l="0" t="0" r="0" b="9525"/>
          <wp:docPr id="16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val="en-GB" w:eastAsia="en-GB"/>
      </w:rPr>
      <w:t xml:space="preserve"> </w:t>
    </w:r>
    <w:r>
      <w:rPr>
        <w:rFonts w:ascii="Arial" w:hAnsi="Arial" w:cs="Arial"/>
        <w:b/>
      </w:rPr>
      <w:tab/>
      <w:t xml:space="preserve"> </w:t>
    </w:r>
  </w:p>
  <w:p w:rsidR="00502842" w:rsidRDefault="00502842" w:rsidP="003927D9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275" cy="0"/>
              <wp:effectExtent l="11430" t="12065" r="10795" b="6985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D4B0AF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ljJAIAAEMEAAAOAAAAZHJzL2Uyb0RvYy54bWysU02P2yAQvVfqf0Dcs/5YJ5u14qwqO+ll&#10;242U7Q8ggGNUDAjYOFHV/96BxFG2vVRVfcDADI83bx6Lp2Mv0YFbJ7SqcHaXYsQV1UyofYW/va4n&#10;c4ycJ4oRqRWv8Ik7/LT8+GExmJLnutOScYsARLlyMBXuvDdlkjja8Z64O224gmCrbU88LO0+YZYM&#10;gN7LJE/TWTJoy4zVlDsHu805iJcRv2059S9t67hHssLAzcfRxnEXxmS5IOXeEtMJeqFB/oFFT4SC&#10;S69QDfEEvVnxB1QvqNVOt/6O6j7RbSsojzVANVn6WzXbjhgeawFxnLnK5P4fLP162FgkWIWnGCnS&#10;Q4u23hKx7zyqtVIgoLYoDzoNxpWQXquNDZXSo9qaZ02/O6R03RG155Hv68kASBZOJO+OhIUzcNtu&#10;+KIZ5JA3r6Nox9b2ARLkQMfYm9O1N/zoEYXNWT4r8gcgScdYQsrxoLHOf+a6R2FSYSlUkI2U5PDs&#10;fCBCyjElbCu9FlLG1kuFBgC/n6bxgNNSsBAMac7ud7W06ECCeeIXq4LIbVovPFhYir7C82sSKTtO&#10;2EqxeIsnQp7nwESqAA51AbfL7GyVH4/p42q+mheTIp+tJkXaNJNP67qYzNbZw7S5b+q6yX4GnllR&#10;doIxrgLV0bZZ8Xe2uDygs+Guxr1qkrxHj+IB2fEfScfGhl6eXbHT7LSxY8PBqTH58qrCU7hdw/z2&#10;7S9/AQAA//8DAFBLAwQUAAYACAAAACEAdwj5vNgAAAAEAQAADwAAAGRycy9kb3ducmV2LnhtbEyP&#10;QUvEMBCF74L/IYzgzU1V2HZr00UED4KgVg8es+1sU00mNcm29d87elmPj/f45ptquzgrJgxx8KTg&#10;cpWBQGp9N1Cv4O31/qIAEZOmTltPqOAbI2zr05NKl52f6QWnJvWCIRRLrcCkNJZSxtag03HlRyTu&#10;9j44nTiGXnZBzwx3Vl5l2Vo6PRBfMHrEO4PtZ3NwTKH8a7/Y8P789GiKZv7AhylHpc7PltsbEAmX&#10;dBzDrz6rQ81OO3+gLgqr4Jp3CvINCC43xZr/2P1lWVfyv3z9AwAA//8DAFBLAQItABQABgAIAAAA&#10;IQC2gziS/gAAAOEBAAATAAAAAAAAAAAAAAAAAAAAAABbQ29udGVudF9UeXBlc10ueG1sUEsBAi0A&#10;FAAGAAgAAAAhADj9If/WAAAAlAEAAAsAAAAAAAAAAAAAAAAALwEAAF9yZWxzLy5yZWxzUEsBAi0A&#10;FAAGAAgAAAAhANOTSWMkAgAAQwQAAA4AAAAAAAAAAAAAAAAALgIAAGRycy9lMm9Eb2MueG1sUEsB&#10;Ai0AFAAGAAgAAAAhAHcI+bzYAAAABAEAAA8AAAAAAAAAAAAAAAAAfgQAAGRycy9kb3ducmV2Lnht&#10;bFBLBQYAAAAABAAEAPMAAACDBQAAAAA=&#10;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42" w:rsidRDefault="00502842" w:rsidP="003927D9">
    <w:pPr>
      <w:pStyle w:val="Header"/>
      <w:tabs>
        <w:tab w:val="clear" w:pos="9026"/>
        <w:tab w:val="right" w:pos="734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81644"/>
    <w:multiLevelType w:val="hybridMultilevel"/>
    <w:tmpl w:val="5970A08E"/>
    <w:lvl w:ilvl="0" w:tplc="EFB0CC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22ABA"/>
    <w:multiLevelType w:val="hybridMultilevel"/>
    <w:tmpl w:val="D45C735E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8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CBA9CFC">
      <w:start w:val="1"/>
      <w:numFmt w:val="decimal"/>
      <w:lvlText w:val="Secțiunea 2.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1990FD7"/>
    <w:multiLevelType w:val="hybridMultilevel"/>
    <w:tmpl w:val="979A9ECC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9361A4"/>
    <w:multiLevelType w:val="hybridMultilevel"/>
    <w:tmpl w:val="37D08D38"/>
    <w:lvl w:ilvl="0" w:tplc="856285A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15C86"/>
    <w:multiLevelType w:val="hybridMultilevel"/>
    <w:tmpl w:val="A20E5F2E"/>
    <w:lvl w:ilvl="0" w:tplc="DD8010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C1289D"/>
    <w:multiLevelType w:val="hybridMultilevel"/>
    <w:tmpl w:val="A32EC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C3C9A"/>
    <w:multiLevelType w:val="hybridMultilevel"/>
    <w:tmpl w:val="3612C99C"/>
    <w:lvl w:ilvl="0" w:tplc="EFB0CC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879D5"/>
    <w:multiLevelType w:val="hybridMultilevel"/>
    <w:tmpl w:val="1494C832"/>
    <w:lvl w:ilvl="0" w:tplc="C6DA49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63372F"/>
    <w:multiLevelType w:val="hybridMultilevel"/>
    <w:tmpl w:val="A0B27F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14B23"/>
    <w:multiLevelType w:val="hybridMultilevel"/>
    <w:tmpl w:val="2E20EC8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8356D"/>
    <w:multiLevelType w:val="multilevel"/>
    <w:tmpl w:val="6E2A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1">
    <w:nsid w:val="71FB6D64"/>
    <w:multiLevelType w:val="hybridMultilevel"/>
    <w:tmpl w:val="CBD8D7B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16055C"/>
    <w:multiLevelType w:val="hybridMultilevel"/>
    <w:tmpl w:val="ED50D7E0"/>
    <w:lvl w:ilvl="0" w:tplc="36002B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0A3E16"/>
    <w:multiLevelType w:val="hybridMultilevel"/>
    <w:tmpl w:val="1B502304"/>
    <w:lvl w:ilvl="0" w:tplc="CE4CD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24BD7"/>
    <w:multiLevelType w:val="hybridMultilevel"/>
    <w:tmpl w:val="BB98477C"/>
    <w:lvl w:ilvl="0" w:tplc="325AF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4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37"/>
    <w:rsid w:val="000259FF"/>
    <w:rsid w:val="000416FF"/>
    <w:rsid w:val="000506F4"/>
    <w:rsid w:val="00050C2A"/>
    <w:rsid w:val="00052FD9"/>
    <w:rsid w:val="00072732"/>
    <w:rsid w:val="000871E1"/>
    <w:rsid w:val="000917E6"/>
    <w:rsid w:val="00096493"/>
    <w:rsid w:val="000D1302"/>
    <w:rsid w:val="000D4689"/>
    <w:rsid w:val="000D6305"/>
    <w:rsid w:val="000F4624"/>
    <w:rsid w:val="001029F2"/>
    <w:rsid w:val="00123A54"/>
    <w:rsid w:val="00126E6D"/>
    <w:rsid w:val="00130459"/>
    <w:rsid w:val="0013274F"/>
    <w:rsid w:val="00157232"/>
    <w:rsid w:val="00160D1D"/>
    <w:rsid w:val="00166095"/>
    <w:rsid w:val="00172D21"/>
    <w:rsid w:val="00191BE7"/>
    <w:rsid w:val="001A1651"/>
    <w:rsid w:val="001B0B9E"/>
    <w:rsid w:val="001B1B25"/>
    <w:rsid w:val="001C2983"/>
    <w:rsid w:val="001C49FC"/>
    <w:rsid w:val="001C6A79"/>
    <w:rsid w:val="001D7EE6"/>
    <w:rsid w:val="001E1BD3"/>
    <w:rsid w:val="001E6179"/>
    <w:rsid w:val="001F1F8E"/>
    <w:rsid w:val="001F3739"/>
    <w:rsid w:val="001F5791"/>
    <w:rsid w:val="001F6855"/>
    <w:rsid w:val="00203275"/>
    <w:rsid w:val="002223F9"/>
    <w:rsid w:val="00224BEE"/>
    <w:rsid w:val="00262E9F"/>
    <w:rsid w:val="00270E4F"/>
    <w:rsid w:val="00276CA1"/>
    <w:rsid w:val="0027738A"/>
    <w:rsid w:val="00277DCB"/>
    <w:rsid w:val="00293AEC"/>
    <w:rsid w:val="002A4963"/>
    <w:rsid w:val="002A5D8E"/>
    <w:rsid w:val="002B3467"/>
    <w:rsid w:val="002C268C"/>
    <w:rsid w:val="002E1661"/>
    <w:rsid w:val="002E7BAE"/>
    <w:rsid w:val="00301D0A"/>
    <w:rsid w:val="00314052"/>
    <w:rsid w:val="00315655"/>
    <w:rsid w:val="00316B09"/>
    <w:rsid w:val="00316B37"/>
    <w:rsid w:val="00331B49"/>
    <w:rsid w:val="0036044A"/>
    <w:rsid w:val="0037242D"/>
    <w:rsid w:val="003842D0"/>
    <w:rsid w:val="003850FE"/>
    <w:rsid w:val="003913E1"/>
    <w:rsid w:val="003927D9"/>
    <w:rsid w:val="00393B87"/>
    <w:rsid w:val="00395D85"/>
    <w:rsid w:val="003972E7"/>
    <w:rsid w:val="003A51F7"/>
    <w:rsid w:val="003B0ECB"/>
    <w:rsid w:val="003B4C37"/>
    <w:rsid w:val="00403360"/>
    <w:rsid w:val="00414F3F"/>
    <w:rsid w:val="0043580B"/>
    <w:rsid w:val="00437C42"/>
    <w:rsid w:val="00444064"/>
    <w:rsid w:val="0045797E"/>
    <w:rsid w:val="0046466D"/>
    <w:rsid w:val="0047208B"/>
    <w:rsid w:val="0047732F"/>
    <w:rsid w:val="00485BF1"/>
    <w:rsid w:val="00497223"/>
    <w:rsid w:val="004A6BE9"/>
    <w:rsid w:val="004B1447"/>
    <w:rsid w:val="004C0B86"/>
    <w:rsid w:val="004C13F3"/>
    <w:rsid w:val="00502842"/>
    <w:rsid w:val="005360F0"/>
    <w:rsid w:val="0054054F"/>
    <w:rsid w:val="00561D6D"/>
    <w:rsid w:val="00596750"/>
    <w:rsid w:val="005A480A"/>
    <w:rsid w:val="005A4903"/>
    <w:rsid w:val="005C054E"/>
    <w:rsid w:val="005C58ED"/>
    <w:rsid w:val="005D7077"/>
    <w:rsid w:val="005E003D"/>
    <w:rsid w:val="005E0E28"/>
    <w:rsid w:val="005F05E5"/>
    <w:rsid w:val="005F3D43"/>
    <w:rsid w:val="005F52E7"/>
    <w:rsid w:val="00603780"/>
    <w:rsid w:val="00605FFF"/>
    <w:rsid w:val="00620875"/>
    <w:rsid w:val="00631AB9"/>
    <w:rsid w:val="006521B9"/>
    <w:rsid w:val="006521DE"/>
    <w:rsid w:val="006726BB"/>
    <w:rsid w:val="00682A2E"/>
    <w:rsid w:val="00684429"/>
    <w:rsid w:val="00695F7C"/>
    <w:rsid w:val="006A2FB3"/>
    <w:rsid w:val="006A4B81"/>
    <w:rsid w:val="006D5B7F"/>
    <w:rsid w:val="006E028A"/>
    <w:rsid w:val="006E0DF7"/>
    <w:rsid w:val="00710579"/>
    <w:rsid w:val="00714D33"/>
    <w:rsid w:val="00715A0C"/>
    <w:rsid w:val="00726C0C"/>
    <w:rsid w:val="00731C09"/>
    <w:rsid w:val="00740A57"/>
    <w:rsid w:val="007437A5"/>
    <w:rsid w:val="0076539B"/>
    <w:rsid w:val="00782E9E"/>
    <w:rsid w:val="007839BF"/>
    <w:rsid w:val="007A183A"/>
    <w:rsid w:val="007B0ADC"/>
    <w:rsid w:val="007B3DCB"/>
    <w:rsid w:val="007C0BC0"/>
    <w:rsid w:val="007C2B85"/>
    <w:rsid w:val="007D2B8B"/>
    <w:rsid w:val="007E0438"/>
    <w:rsid w:val="007E5615"/>
    <w:rsid w:val="0080198F"/>
    <w:rsid w:val="00810725"/>
    <w:rsid w:val="00827018"/>
    <w:rsid w:val="00827CDE"/>
    <w:rsid w:val="00845749"/>
    <w:rsid w:val="0085302E"/>
    <w:rsid w:val="00856D04"/>
    <w:rsid w:val="00877AEF"/>
    <w:rsid w:val="008825A1"/>
    <w:rsid w:val="00882AE4"/>
    <w:rsid w:val="00890FF0"/>
    <w:rsid w:val="00895766"/>
    <w:rsid w:val="008B531F"/>
    <w:rsid w:val="008B5C27"/>
    <w:rsid w:val="008B6F8C"/>
    <w:rsid w:val="008D7198"/>
    <w:rsid w:val="008D7A6B"/>
    <w:rsid w:val="008F2818"/>
    <w:rsid w:val="008F401E"/>
    <w:rsid w:val="00903E9B"/>
    <w:rsid w:val="009114A6"/>
    <w:rsid w:val="0091379A"/>
    <w:rsid w:val="009152E1"/>
    <w:rsid w:val="00923D34"/>
    <w:rsid w:val="009327E0"/>
    <w:rsid w:val="00934C69"/>
    <w:rsid w:val="009458F5"/>
    <w:rsid w:val="00966807"/>
    <w:rsid w:val="00972453"/>
    <w:rsid w:val="009C01B6"/>
    <w:rsid w:val="00A0486F"/>
    <w:rsid w:val="00A06EE0"/>
    <w:rsid w:val="00A10FDB"/>
    <w:rsid w:val="00A14658"/>
    <w:rsid w:val="00A32B8C"/>
    <w:rsid w:val="00A40F3B"/>
    <w:rsid w:val="00A42237"/>
    <w:rsid w:val="00A43E22"/>
    <w:rsid w:val="00A53A72"/>
    <w:rsid w:val="00A6197F"/>
    <w:rsid w:val="00A63C0A"/>
    <w:rsid w:val="00A70B44"/>
    <w:rsid w:val="00A946CF"/>
    <w:rsid w:val="00AC3B13"/>
    <w:rsid w:val="00AC5CC2"/>
    <w:rsid w:val="00AC68ED"/>
    <w:rsid w:val="00B043B4"/>
    <w:rsid w:val="00B14595"/>
    <w:rsid w:val="00B21FF5"/>
    <w:rsid w:val="00B25C27"/>
    <w:rsid w:val="00B31376"/>
    <w:rsid w:val="00B32402"/>
    <w:rsid w:val="00B4174C"/>
    <w:rsid w:val="00B474D8"/>
    <w:rsid w:val="00B56190"/>
    <w:rsid w:val="00B618A1"/>
    <w:rsid w:val="00B669F4"/>
    <w:rsid w:val="00B74D24"/>
    <w:rsid w:val="00B81C1F"/>
    <w:rsid w:val="00BA024E"/>
    <w:rsid w:val="00BA16A5"/>
    <w:rsid w:val="00BA4A05"/>
    <w:rsid w:val="00BB3B1F"/>
    <w:rsid w:val="00BC50A4"/>
    <w:rsid w:val="00BD2AD7"/>
    <w:rsid w:val="00BD6E8E"/>
    <w:rsid w:val="00BE0064"/>
    <w:rsid w:val="00BE3B1E"/>
    <w:rsid w:val="00BF0220"/>
    <w:rsid w:val="00C248E9"/>
    <w:rsid w:val="00C30A5E"/>
    <w:rsid w:val="00C3626E"/>
    <w:rsid w:val="00C410BE"/>
    <w:rsid w:val="00C41AFB"/>
    <w:rsid w:val="00C45609"/>
    <w:rsid w:val="00C473AD"/>
    <w:rsid w:val="00C52567"/>
    <w:rsid w:val="00C70586"/>
    <w:rsid w:val="00C71B3B"/>
    <w:rsid w:val="00C73C28"/>
    <w:rsid w:val="00C77CA6"/>
    <w:rsid w:val="00C83CF9"/>
    <w:rsid w:val="00CA5684"/>
    <w:rsid w:val="00CA6C9B"/>
    <w:rsid w:val="00CB1830"/>
    <w:rsid w:val="00CB40F1"/>
    <w:rsid w:val="00CD0844"/>
    <w:rsid w:val="00CD518F"/>
    <w:rsid w:val="00CE1F93"/>
    <w:rsid w:val="00D077C2"/>
    <w:rsid w:val="00D17C7B"/>
    <w:rsid w:val="00D47766"/>
    <w:rsid w:val="00D6553D"/>
    <w:rsid w:val="00D66765"/>
    <w:rsid w:val="00D71A8C"/>
    <w:rsid w:val="00D737E6"/>
    <w:rsid w:val="00D95EA6"/>
    <w:rsid w:val="00DA6ECF"/>
    <w:rsid w:val="00DB5569"/>
    <w:rsid w:val="00DD3A98"/>
    <w:rsid w:val="00DE4A0B"/>
    <w:rsid w:val="00DF1C5B"/>
    <w:rsid w:val="00E05DC8"/>
    <w:rsid w:val="00E20B0F"/>
    <w:rsid w:val="00E35C34"/>
    <w:rsid w:val="00E57348"/>
    <w:rsid w:val="00E702A6"/>
    <w:rsid w:val="00E807FF"/>
    <w:rsid w:val="00E840AB"/>
    <w:rsid w:val="00E96006"/>
    <w:rsid w:val="00E97B1B"/>
    <w:rsid w:val="00EA134F"/>
    <w:rsid w:val="00EA2F0B"/>
    <w:rsid w:val="00EB6685"/>
    <w:rsid w:val="00ED5B6C"/>
    <w:rsid w:val="00EE57AF"/>
    <w:rsid w:val="00EF2FF7"/>
    <w:rsid w:val="00F63DD1"/>
    <w:rsid w:val="00F6450E"/>
    <w:rsid w:val="00F65EDF"/>
    <w:rsid w:val="00F80B77"/>
    <w:rsid w:val="00F90F91"/>
    <w:rsid w:val="00F914E8"/>
    <w:rsid w:val="00FA5BB2"/>
    <w:rsid w:val="00FB31F8"/>
    <w:rsid w:val="00FB4350"/>
    <w:rsid w:val="00FB694A"/>
    <w:rsid w:val="00FC1AC3"/>
    <w:rsid w:val="00F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00B6E21-A2F3-4C8A-A0FA-CF0E21A2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2E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65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82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4658"/>
    <w:rPr>
      <w:rFonts w:ascii="Calibri Light" w:hAnsi="Calibri Light" w:cs="Times New Roman"/>
      <w:color w:val="2E74B5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4C37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4C37"/>
    <w:rPr>
      <w:rFonts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uiPriority w:val="99"/>
    <w:rsid w:val="005F3D4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3850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50"/>
    <w:pPr>
      <w:spacing w:after="0" w:line="240" w:lineRule="auto"/>
    </w:pPr>
    <w:rPr>
      <w:rFonts w:ascii="ArialUpR" w:eastAsia="Times New Roman" w:hAnsi="ArialUpR"/>
      <w:sz w:val="24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50"/>
    <w:rPr>
      <w:rFonts w:ascii="ArialUpR" w:eastAsia="Times New Roman" w:hAnsi="ArialUpR"/>
      <w:sz w:val="24"/>
      <w:szCs w:val="20"/>
    </w:rPr>
  </w:style>
  <w:style w:type="paragraph" w:styleId="ListParagraph">
    <w:name w:val="List Paragraph"/>
    <w:basedOn w:val="Normal"/>
    <w:uiPriority w:val="34"/>
    <w:qFormat/>
    <w:rsid w:val="00FB43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917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782E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ED5B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1"/>
    <w:uiPriority w:val="99"/>
    <w:semiHidden/>
    <w:rsid w:val="00E702A6"/>
    <w:pPr>
      <w:spacing w:after="120" w:line="480" w:lineRule="auto"/>
    </w:pPr>
    <w:rPr>
      <w:sz w:val="24"/>
      <w:szCs w:val="20"/>
      <w:lang w:val="en-US"/>
    </w:rPr>
  </w:style>
  <w:style w:type="character" w:customStyle="1" w:styleId="BodyText2Char">
    <w:name w:val="Body Text 2 Char"/>
    <w:basedOn w:val="DefaultParagraphFont"/>
    <w:uiPriority w:val="99"/>
    <w:semiHidden/>
    <w:rsid w:val="00E702A6"/>
    <w:rPr>
      <w:lang w:val="ro-RO"/>
    </w:rPr>
  </w:style>
  <w:style w:type="character" w:customStyle="1" w:styleId="BodyText2Char1">
    <w:name w:val="Body Text 2 Char1"/>
    <w:link w:val="BodyText2"/>
    <w:uiPriority w:val="99"/>
    <w:semiHidden/>
    <w:locked/>
    <w:rsid w:val="00E702A6"/>
    <w:rPr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16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1661"/>
    <w:rPr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re.r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1540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2020-01-08T09:53:00Z</cp:lastPrinted>
  <dcterms:created xsi:type="dcterms:W3CDTF">2020-01-08T09:43:00Z</dcterms:created>
  <dcterms:modified xsi:type="dcterms:W3CDTF">2020-01-08T09:53:00Z</dcterms:modified>
</cp:coreProperties>
</file>