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41" w:rsidRPr="004A2790" w:rsidRDefault="00017F41" w:rsidP="00D1620F">
      <w:pPr>
        <w:keepNext/>
        <w:keepLines/>
        <w:ind w:left="709"/>
        <w:outlineLvl w:val="0"/>
        <w:rPr>
          <w:rFonts w:ascii="Arial" w:hAnsi="Arial" w:cs="Arial"/>
          <w:b/>
          <w:bCs/>
          <w:sz w:val="36"/>
          <w:szCs w:val="32"/>
        </w:rPr>
      </w:pPr>
    </w:p>
    <w:p w:rsidR="00017F41" w:rsidRPr="004A2790" w:rsidRDefault="00017F41" w:rsidP="00D1620F">
      <w:pPr>
        <w:keepNext/>
        <w:keepLines/>
        <w:ind w:left="709"/>
        <w:outlineLvl w:val="0"/>
        <w:rPr>
          <w:rFonts w:ascii="Arial" w:hAnsi="Arial" w:cs="Arial"/>
          <w:b/>
          <w:bCs/>
          <w:sz w:val="36"/>
          <w:szCs w:val="32"/>
        </w:rPr>
      </w:pPr>
      <w:r w:rsidRPr="004A2790">
        <w:rPr>
          <w:rFonts w:ascii="Arial" w:hAnsi="Arial" w:cs="Arial"/>
          <w:b/>
          <w:bCs/>
          <w:sz w:val="36"/>
          <w:szCs w:val="32"/>
        </w:rPr>
        <w:t>Comunicat de presă</w:t>
      </w:r>
    </w:p>
    <w:p w:rsidR="00017F41" w:rsidRPr="004A2790" w:rsidRDefault="00017F41" w:rsidP="003910E8">
      <w:pPr>
        <w:spacing w:after="200" w:line="276" w:lineRule="auto"/>
        <w:ind w:left="709"/>
        <w:rPr>
          <w:rFonts w:ascii="Arial" w:hAnsi="Arial" w:cs="Arial"/>
          <w:b/>
          <w:color w:val="808080"/>
          <w:sz w:val="36"/>
          <w:szCs w:val="36"/>
        </w:rPr>
      </w:pPr>
      <w:r w:rsidRPr="004A2790">
        <w:rPr>
          <w:rFonts w:ascii="Arial" w:hAnsi="Arial" w:cs="Arial"/>
          <w:b/>
          <w:color w:val="808080"/>
          <w:sz w:val="36"/>
          <w:szCs w:val="36"/>
        </w:rPr>
        <w:t xml:space="preserve">Industria aluminiului, afectată sever de costurile cu reglementările UE, precizează un studiu al Comisiei </w:t>
      </w:r>
    </w:p>
    <w:p w:rsidR="00017F41" w:rsidRPr="004A2790" w:rsidRDefault="00017F41" w:rsidP="00D1620F">
      <w:pPr>
        <w:ind w:left="709"/>
        <w:jc w:val="both"/>
        <w:rPr>
          <w:rFonts w:ascii="Arial" w:hAnsi="Arial" w:cs="Arial"/>
          <w:b/>
          <w:sz w:val="22"/>
          <w:szCs w:val="22"/>
          <w:lang w:eastAsia="fr-BE"/>
        </w:rPr>
      </w:pPr>
      <w:r w:rsidRPr="004A2790">
        <w:rPr>
          <w:rFonts w:ascii="Arial" w:hAnsi="Arial" w:cs="Arial"/>
          <w:b/>
          <w:sz w:val="22"/>
          <w:szCs w:val="22"/>
          <w:u w:val="single"/>
          <w:lang w:eastAsia="fr-BE"/>
        </w:rPr>
        <w:t>Bruxelles, 6 noiembrie 2013</w:t>
      </w:r>
      <w:r w:rsidRPr="004A2790">
        <w:rPr>
          <w:rFonts w:ascii="Arial" w:hAnsi="Arial" w:cs="Arial"/>
          <w:b/>
          <w:sz w:val="22"/>
          <w:szCs w:val="22"/>
          <w:lang w:eastAsia="fr-BE"/>
        </w:rPr>
        <w:t>: Aflată sub presiunea costurilor determinate de politicile UE, industria europeană a aluminiului şi-a pierdut din competitivitate. Aceasta este concluzia unui studiul realizat pentru Comisia Europeană în cadrul Fitness Check (studiu de verificare a sustenabilităţii) privind industria aluminiului, publicat pe 6 noiembrie.</w:t>
      </w:r>
    </w:p>
    <w:p w:rsidR="00017F41" w:rsidRPr="004A2790" w:rsidRDefault="00017F41" w:rsidP="00D1620F">
      <w:pPr>
        <w:ind w:left="709"/>
        <w:jc w:val="both"/>
        <w:rPr>
          <w:rFonts w:ascii="Arial" w:hAnsi="Arial" w:cs="Arial"/>
          <w:b/>
          <w:sz w:val="22"/>
          <w:szCs w:val="22"/>
          <w:lang w:eastAsia="fr-BE"/>
        </w:rPr>
      </w:pPr>
    </w:p>
    <w:p w:rsidR="00017F41" w:rsidRPr="004A2790" w:rsidRDefault="00017F41" w:rsidP="00652D6E">
      <w:pPr>
        <w:ind w:left="709"/>
        <w:jc w:val="both"/>
        <w:rPr>
          <w:rFonts w:ascii="Arial" w:hAnsi="Arial" w:cs="Arial"/>
          <w:sz w:val="20"/>
          <w:szCs w:val="22"/>
        </w:rPr>
      </w:pPr>
      <w:r w:rsidRPr="008C13F9">
        <w:rPr>
          <w:rFonts w:ascii="Arial" w:hAnsi="Arial"/>
          <w:sz w:val="20"/>
          <w:szCs w:val="20"/>
          <w:lang w:val="ro-RO"/>
        </w:rPr>
        <w:t xml:space="preserve">Centrul pentru Studii de Politică Europeană </w:t>
      </w:r>
      <w:r w:rsidRPr="004A2790">
        <w:rPr>
          <w:rFonts w:ascii="Arial" w:hAnsi="Arial" w:cs="Arial"/>
          <w:sz w:val="20"/>
          <w:szCs w:val="22"/>
        </w:rPr>
        <w:t>(CEPS) a realizat, în premieră, o analiză a costurilor suportate de industria aluminiului, generate de legislaţia UE din ultimii 10 ani din domeniul energiei, schimbarilor climatice, mediului, concurenţei, comerţului şi sectoarele de producţie. Studiul a evaluat 46 de fabrici, care reprezintă peste 60% din capacitatea de producţie a UE.</w:t>
      </w:r>
    </w:p>
    <w:p w:rsidR="00017F41" w:rsidRPr="004A2790" w:rsidRDefault="00017F41" w:rsidP="00D1620F">
      <w:pPr>
        <w:ind w:left="709"/>
        <w:jc w:val="both"/>
        <w:rPr>
          <w:rFonts w:ascii="Arial" w:hAnsi="Arial" w:cs="Arial"/>
          <w:b/>
          <w:sz w:val="22"/>
          <w:szCs w:val="22"/>
          <w:lang w:eastAsia="fr-BE"/>
        </w:rPr>
      </w:pPr>
    </w:p>
    <w:p w:rsidR="00017F41" w:rsidRPr="004A2790" w:rsidRDefault="00017F41" w:rsidP="00047FC2">
      <w:pPr>
        <w:ind w:left="709"/>
        <w:jc w:val="both"/>
        <w:rPr>
          <w:rFonts w:ascii="Arial" w:hAnsi="Arial" w:cs="Arial"/>
          <w:sz w:val="20"/>
          <w:szCs w:val="22"/>
        </w:rPr>
      </w:pPr>
      <w:r w:rsidRPr="004A2790">
        <w:rPr>
          <w:rFonts w:ascii="Arial" w:hAnsi="Arial" w:cs="Arial"/>
          <w:i/>
          <w:sz w:val="20"/>
          <w:szCs w:val="22"/>
        </w:rPr>
        <w:t>“Rezultatele arată clar impactul negativ al costurilor anumitor reglementări UE asupra capacităţii noastre de a concura la nivel internaţional,”</w:t>
      </w:r>
      <w:r w:rsidRPr="004A2790">
        <w:rPr>
          <w:rFonts w:ascii="Arial" w:hAnsi="Arial" w:cs="Arial"/>
          <w:sz w:val="20"/>
          <w:szCs w:val="22"/>
        </w:rPr>
        <w:t xml:space="preserve"> a precizat Gerd Götz, director general al Asociaţiei Europene a Aluminiului (EAA). “</w:t>
      </w:r>
      <w:r w:rsidRPr="004A2790">
        <w:rPr>
          <w:rFonts w:ascii="Arial" w:hAnsi="Arial" w:cs="Arial"/>
          <w:i/>
          <w:sz w:val="20"/>
          <w:szCs w:val="22"/>
        </w:rPr>
        <w:t>În Europa,</w:t>
      </w:r>
      <w:r w:rsidRPr="004A2790">
        <w:rPr>
          <w:rFonts w:ascii="Arial" w:hAnsi="Arial" w:cs="Arial"/>
          <w:sz w:val="20"/>
          <w:szCs w:val="22"/>
        </w:rPr>
        <w:t xml:space="preserve"> </w:t>
      </w:r>
      <w:r w:rsidRPr="004A2790">
        <w:rPr>
          <w:rFonts w:ascii="Arial" w:hAnsi="Arial" w:cs="Arial"/>
          <w:i/>
          <w:sz w:val="20"/>
          <w:szCs w:val="22"/>
        </w:rPr>
        <w:t>cererea pentru aluminiu creşte, în timp ce producţia este în scădere. Suntem recunoscători vicepreşedintelui Tajani pentru realizarea acestei evaluării. Acum este timpul unui răspuns politic puternic imediat</w:t>
      </w:r>
      <w:r w:rsidRPr="004A2790">
        <w:rPr>
          <w:rFonts w:ascii="Arial" w:hAnsi="Arial" w:cs="Arial"/>
          <w:sz w:val="20"/>
          <w:szCs w:val="22"/>
        </w:rPr>
        <w:t>.”</w:t>
      </w:r>
    </w:p>
    <w:p w:rsidR="00017F41" w:rsidRPr="004A2790" w:rsidRDefault="00017F41" w:rsidP="00047FC2">
      <w:pPr>
        <w:jc w:val="both"/>
        <w:rPr>
          <w:rFonts w:ascii="Arial" w:hAnsi="Arial" w:cs="Arial"/>
          <w:sz w:val="22"/>
          <w:szCs w:val="22"/>
        </w:rPr>
      </w:pPr>
    </w:p>
    <w:p w:rsidR="00017F41" w:rsidRPr="004A2790" w:rsidRDefault="00017F41" w:rsidP="00D1620F">
      <w:pPr>
        <w:ind w:left="709"/>
        <w:jc w:val="both"/>
        <w:rPr>
          <w:rFonts w:ascii="Arial" w:hAnsi="Arial" w:cs="Arial"/>
          <w:i/>
          <w:sz w:val="20"/>
          <w:szCs w:val="22"/>
        </w:rPr>
      </w:pPr>
      <w:r w:rsidRPr="004A2790">
        <w:rPr>
          <w:rFonts w:ascii="Arial" w:hAnsi="Arial" w:cs="Arial"/>
          <w:sz w:val="20"/>
          <w:szCs w:val="22"/>
        </w:rPr>
        <w:t>“</w:t>
      </w:r>
      <w:r w:rsidRPr="004A2790">
        <w:rPr>
          <w:rFonts w:ascii="Arial" w:hAnsi="Arial" w:cs="Arial"/>
          <w:i/>
          <w:sz w:val="20"/>
          <w:szCs w:val="22"/>
        </w:rPr>
        <w:t xml:space="preserve">Studiul de evaluare pune accent, cu precădere, pe diferenţa dintre fabrici situate în UE, care sunt încă protejate de costurile politicilor UE, datorită contractelor pre-ETS (schema de comercializare a certificatelor de emisii de gaze cu efect de seră) pe termen lung, şi cele care sunt în totalitate expuse pieţei de electricitate europeană şi regulamentelor ETS. Cele din urmă au devenit combinatele cel mai puţin competitive din lume şi se confruntă cu costuri de până la 228 euro/tona de aluminiu produs ex.: 11% din totalul costurilor de producţie (inclusiv materii prime).” </w:t>
      </w:r>
    </w:p>
    <w:p w:rsidR="00017F41" w:rsidRPr="004A2790" w:rsidRDefault="00017F41" w:rsidP="00D1620F">
      <w:pPr>
        <w:ind w:left="709"/>
        <w:jc w:val="both"/>
        <w:rPr>
          <w:rFonts w:ascii="Arial" w:hAnsi="Arial" w:cs="Arial"/>
          <w:b/>
          <w:sz w:val="22"/>
          <w:szCs w:val="22"/>
          <w:lang w:eastAsia="fr-BE"/>
        </w:rPr>
      </w:pPr>
    </w:p>
    <w:p w:rsidR="00017F41" w:rsidRPr="004A2790" w:rsidRDefault="00017F41" w:rsidP="0046283A">
      <w:pPr>
        <w:ind w:left="709"/>
        <w:jc w:val="both"/>
        <w:rPr>
          <w:rFonts w:ascii="Arial" w:hAnsi="Arial" w:cs="Arial"/>
          <w:sz w:val="20"/>
          <w:szCs w:val="22"/>
        </w:rPr>
      </w:pPr>
      <w:r w:rsidRPr="004A2790">
        <w:rPr>
          <w:rFonts w:ascii="Arial" w:hAnsi="Arial" w:cs="Arial"/>
          <w:sz w:val="20"/>
          <w:szCs w:val="22"/>
        </w:rPr>
        <w:t>Studiul subliniază faptul că acele costuri indirecte presupuse de ETS (costurile CO2 transmise mai departe de către producătorii de electricitate în facturile de energie), precum şi suprataxele menite să sprijine energiile regenerabile, reprezintă cauzele principale ale discrepanţei de competitivitate a industriei europene a aluminului. Drept rezultat, producţia europeană de aluminiu primar a scăzut cu peste o treime pe fondul închiderii anumitor fabrici şi reducerilor de capacităţi din perioada 2007 - 2012. Această pieredere înregistrată în producţie afectează inclusiv întregi sectoare din industrie la nivel regional şi ameninţă multe facilităţi de producţie primară şi IMM-uri care beneficiază de pe urma proximităţii şi expertizei furnizorilor locali. Totuşi, această tendinţă poate fi inversată, astfel încât să fie asigurată renaşterea industriei aluminiului în Europa.</w:t>
      </w:r>
    </w:p>
    <w:p w:rsidR="00017F41" w:rsidRPr="004A2790" w:rsidRDefault="00017F41" w:rsidP="0046283A">
      <w:pPr>
        <w:ind w:left="709"/>
        <w:jc w:val="both"/>
        <w:rPr>
          <w:rFonts w:ascii="Arial" w:hAnsi="Arial" w:cs="Arial"/>
          <w:sz w:val="20"/>
          <w:szCs w:val="22"/>
        </w:rPr>
      </w:pPr>
    </w:p>
    <w:p w:rsidR="00017F41" w:rsidRPr="004A2790" w:rsidRDefault="00017F41" w:rsidP="0046283A">
      <w:pPr>
        <w:ind w:left="709"/>
        <w:jc w:val="both"/>
        <w:rPr>
          <w:rFonts w:ascii="Arial" w:hAnsi="Arial" w:cs="Arial"/>
          <w:sz w:val="20"/>
          <w:szCs w:val="22"/>
        </w:rPr>
      </w:pPr>
      <w:r w:rsidRPr="004A2790">
        <w:rPr>
          <w:rFonts w:ascii="Arial" w:hAnsi="Arial" w:cs="Arial"/>
          <w:sz w:val="20"/>
          <w:szCs w:val="22"/>
        </w:rPr>
        <w:t>În prezent, preşedintele Asocia</w:t>
      </w:r>
      <w:r w:rsidRPr="004A2790">
        <w:rPr>
          <w:rFonts w:ascii="Arial" w:hAnsi="Arial"/>
          <w:sz w:val="20"/>
          <w:szCs w:val="22"/>
        </w:rPr>
        <w:t>ţ</w:t>
      </w:r>
      <w:r w:rsidRPr="004A2790">
        <w:rPr>
          <w:rFonts w:ascii="Arial" w:hAnsi="Arial" w:cs="Arial"/>
          <w:sz w:val="20"/>
          <w:szCs w:val="22"/>
        </w:rPr>
        <w:t>iei Europene a Aluminiului, Roeland Baan (Aleris), alături de directorul general al Asocia</w:t>
      </w:r>
      <w:r w:rsidRPr="004A2790">
        <w:rPr>
          <w:rFonts w:ascii="Calibri" w:hAnsi="Calibri"/>
          <w:sz w:val="20"/>
          <w:szCs w:val="22"/>
        </w:rPr>
        <w:t>ț</w:t>
      </w:r>
      <w:r w:rsidRPr="004A2790">
        <w:rPr>
          <w:rFonts w:ascii="Arial" w:hAnsi="Arial" w:cs="Arial"/>
          <w:sz w:val="20"/>
          <w:szCs w:val="22"/>
        </w:rPr>
        <w:t xml:space="preserve">iei şi principalii directori generali din industrie au adus la cunoştinţa comisarului european </w:t>
      </w:r>
      <w:r>
        <w:rPr>
          <w:rFonts w:ascii="Arial" w:hAnsi="Arial" w:cs="Arial"/>
          <w:sz w:val="20"/>
          <w:szCs w:val="22"/>
        </w:rPr>
        <w:t xml:space="preserve">pentru industrie, </w:t>
      </w:r>
      <w:r w:rsidRPr="004A2790">
        <w:rPr>
          <w:rFonts w:ascii="Arial" w:hAnsi="Arial" w:cs="Arial"/>
          <w:sz w:val="20"/>
          <w:szCs w:val="22"/>
        </w:rPr>
        <w:t>Antonio Tajani o serie de recomandări specifice în vederea revitalizării industriei strategice pentru Europa.</w:t>
      </w:r>
    </w:p>
    <w:p w:rsidR="00017F41" w:rsidRPr="004A2790" w:rsidRDefault="00017F41" w:rsidP="00D1620F">
      <w:pPr>
        <w:ind w:left="709"/>
        <w:jc w:val="both"/>
        <w:rPr>
          <w:rFonts w:ascii="Arial" w:hAnsi="Arial" w:cs="Arial"/>
          <w:sz w:val="20"/>
          <w:szCs w:val="22"/>
        </w:rPr>
      </w:pPr>
    </w:p>
    <w:p w:rsidR="00017F41" w:rsidRPr="004A2790" w:rsidRDefault="00017F41" w:rsidP="008925AE">
      <w:pPr>
        <w:ind w:left="709"/>
        <w:jc w:val="both"/>
        <w:rPr>
          <w:rFonts w:ascii="Arial" w:hAnsi="Arial" w:cs="Arial"/>
          <w:sz w:val="20"/>
          <w:szCs w:val="22"/>
        </w:rPr>
      </w:pPr>
      <w:r w:rsidRPr="004A2790">
        <w:rPr>
          <w:rFonts w:ascii="Arial" w:hAnsi="Arial" w:cs="Arial"/>
          <w:sz w:val="20"/>
          <w:szCs w:val="22"/>
        </w:rPr>
        <w:t>Asociaţia Europeană a Aluminiului face apel la implementarea de politici specifice pentru:</w:t>
      </w:r>
    </w:p>
    <w:p w:rsidR="00017F41" w:rsidRPr="004A2790" w:rsidRDefault="00017F41" w:rsidP="00F67EE8">
      <w:pPr>
        <w:pStyle w:val="ListParagraph"/>
        <w:numPr>
          <w:ilvl w:val="0"/>
          <w:numId w:val="13"/>
        </w:numPr>
        <w:jc w:val="both"/>
        <w:rPr>
          <w:rFonts w:ascii="Arial" w:hAnsi="Arial" w:cs="Arial"/>
          <w:sz w:val="20"/>
          <w:lang w:val="en-GB"/>
        </w:rPr>
      </w:pPr>
      <w:r w:rsidRPr="004A2790">
        <w:rPr>
          <w:rFonts w:ascii="Arial" w:hAnsi="Arial" w:cs="Arial"/>
          <w:sz w:val="20"/>
          <w:lang w:val="en-GB"/>
        </w:rPr>
        <w:t>Asigurarea preţurilor competitive la energie, prin intermediul politicilor stabile în domeniul industrial, al climei şi energiei</w:t>
      </w:r>
    </w:p>
    <w:p w:rsidR="00017F41" w:rsidRPr="004A2790" w:rsidRDefault="00017F41" w:rsidP="007C2C6A">
      <w:pPr>
        <w:pStyle w:val="ListParagraph"/>
        <w:numPr>
          <w:ilvl w:val="0"/>
          <w:numId w:val="13"/>
        </w:numPr>
        <w:jc w:val="both"/>
        <w:rPr>
          <w:rFonts w:ascii="Arial" w:hAnsi="Arial" w:cs="Arial"/>
          <w:sz w:val="20"/>
          <w:lang w:val="en-GB"/>
        </w:rPr>
      </w:pPr>
      <w:r w:rsidRPr="004A2790">
        <w:rPr>
          <w:rFonts w:ascii="Arial" w:hAnsi="Arial" w:cs="Arial"/>
          <w:sz w:val="20"/>
          <w:lang w:val="en-GB"/>
        </w:rPr>
        <w:t>Asigurarea disponibilită</w:t>
      </w:r>
      <w:r w:rsidRPr="004A2790">
        <w:rPr>
          <w:rFonts w:ascii="Arial"/>
          <w:sz w:val="20"/>
          <w:lang w:val="en-GB"/>
        </w:rPr>
        <w:t>ț</w:t>
      </w:r>
      <w:r w:rsidRPr="004A2790">
        <w:rPr>
          <w:rFonts w:ascii="Arial" w:hAnsi="Arial" w:cs="Arial"/>
          <w:sz w:val="20"/>
          <w:lang w:val="en-GB"/>
        </w:rPr>
        <w:t>ii deşeurilor</w:t>
      </w:r>
      <w:r>
        <w:rPr>
          <w:rFonts w:ascii="Arial" w:hAnsi="Arial" w:cs="Arial"/>
          <w:sz w:val="20"/>
          <w:lang w:val="en-GB"/>
        </w:rPr>
        <w:t xml:space="preserve"> de metal</w:t>
      </w:r>
      <w:r w:rsidRPr="004A2790">
        <w:rPr>
          <w:rFonts w:ascii="Arial" w:hAnsi="Arial" w:cs="Arial"/>
          <w:sz w:val="20"/>
          <w:lang w:val="en-GB"/>
        </w:rPr>
        <w:t xml:space="preserve"> şi deblocarea mai departe a potenţialul reciclării aluminiului</w:t>
      </w:r>
    </w:p>
    <w:p w:rsidR="00017F41" w:rsidRPr="004A2790" w:rsidRDefault="00017F41" w:rsidP="008925AE">
      <w:pPr>
        <w:pStyle w:val="ListParagraph"/>
        <w:numPr>
          <w:ilvl w:val="0"/>
          <w:numId w:val="13"/>
        </w:numPr>
        <w:jc w:val="both"/>
        <w:rPr>
          <w:rFonts w:ascii="Arial" w:hAnsi="Arial" w:cs="Arial"/>
          <w:sz w:val="20"/>
          <w:lang w:val="en-GB"/>
        </w:rPr>
      </w:pPr>
      <w:r w:rsidRPr="004A2790">
        <w:rPr>
          <w:rFonts w:ascii="Arial" w:hAnsi="Arial" w:cs="Arial"/>
          <w:sz w:val="20"/>
          <w:lang w:val="en-GB"/>
        </w:rPr>
        <w:t>Menţinerea lanţului european industrial generator de valoare, promovarea inovaţiei şi sporirea cererii de soluţii eficiente din punct de vedere al resurselor</w:t>
      </w:r>
    </w:p>
    <w:p w:rsidR="00017F41" w:rsidRPr="004A2790" w:rsidRDefault="00017F41" w:rsidP="000A68C2">
      <w:pPr>
        <w:ind w:left="709"/>
        <w:jc w:val="both"/>
        <w:rPr>
          <w:rFonts w:ascii="Arial" w:hAnsi="Arial" w:cs="Arial"/>
          <w:sz w:val="20"/>
          <w:lang w:val="en-US"/>
        </w:rPr>
      </w:pPr>
      <w:r w:rsidRPr="004A2790">
        <w:rPr>
          <w:rFonts w:ascii="Arial" w:hAnsi="Arial" w:cs="Arial"/>
          <w:sz w:val="20"/>
          <w:lang w:val="en-US"/>
        </w:rPr>
        <w:t>“</w:t>
      </w:r>
      <w:r w:rsidRPr="004A2790">
        <w:rPr>
          <w:rFonts w:ascii="Arial" w:hAnsi="Arial" w:cs="Arial"/>
          <w:i/>
          <w:sz w:val="20"/>
          <w:lang w:val="en-US"/>
        </w:rPr>
        <w:t xml:space="preserve">Suntem susţinători puternici ai obiectivelor strategiei UE 2020 şi ai schemei ETS, în forma lor de instrument de piaţă prin intermediul căruia se pot îndeplini obiectivele legate de schimbarea climatică. Dar este timpul să facem o analiză pragmatică a </w:t>
      </w:r>
      <w:r>
        <w:rPr>
          <w:rFonts w:ascii="Arial" w:hAnsi="Arial" w:cs="Arial"/>
          <w:i/>
          <w:sz w:val="20"/>
          <w:lang w:val="en-US"/>
        </w:rPr>
        <w:t xml:space="preserve">politicilor </w:t>
      </w:r>
      <w:r w:rsidRPr="004A2790">
        <w:rPr>
          <w:rFonts w:ascii="Arial" w:hAnsi="Arial" w:cs="Arial"/>
          <w:i/>
          <w:sz w:val="20"/>
          <w:lang w:val="en-US"/>
        </w:rPr>
        <w:t xml:space="preserve">UE </w:t>
      </w:r>
      <w:r>
        <w:rPr>
          <w:rFonts w:ascii="Arial" w:hAnsi="Arial" w:cs="Arial"/>
          <w:i/>
          <w:sz w:val="20"/>
          <w:lang w:val="en-US"/>
        </w:rPr>
        <w:t xml:space="preserve">privind clima </w:t>
      </w:r>
      <w:r w:rsidRPr="004A2790">
        <w:rPr>
          <w:rFonts w:ascii="Arial" w:hAnsi="Arial" w:cs="Arial"/>
          <w:i/>
          <w:sz w:val="20"/>
          <w:lang w:val="en-US"/>
        </w:rPr>
        <w:t xml:space="preserve">şi </w:t>
      </w:r>
      <w:r>
        <w:rPr>
          <w:rFonts w:ascii="Arial" w:hAnsi="Arial" w:cs="Arial"/>
          <w:i/>
          <w:sz w:val="20"/>
          <w:lang w:val="en-US"/>
        </w:rPr>
        <w:t>privind</w:t>
      </w:r>
      <w:r w:rsidRPr="004A2790">
        <w:rPr>
          <w:rFonts w:ascii="Arial" w:hAnsi="Arial" w:cs="Arial"/>
          <w:i/>
          <w:sz w:val="20"/>
          <w:lang w:val="en-US"/>
        </w:rPr>
        <w:t xml:space="preserve"> energi</w:t>
      </w:r>
      <w:r>
        <w:rPr>
          <w:rFonts w:ascii="Arial" w:hAnsi="Arial" w:cs="Arial"/>
          <w:i/>
          <w:sz w:val="20"/>
          <w:lang w:val="en-US"/>
        </w:rPr>
        <w:t>a</w:t>
      </w:r>
      <w:r w:rsidRPr="004A2790">
        <w:rPr>
          <w:rFonts w:ascii="Arial" w:hAnsi="Arial" w:cs="Arial"/>
          <w:i/>
          <w:sz w:val="20"/>
          <w:lang w:val="en-US"/>
        </w:rPr>
        <w:t>, care să sisteze dispersia de dioxid de carbon şi restrângerea capacităţii industriale, menţinând</w:t>
      </w:r>
      <w:r>
        <w:rPr>
          <w:rFonts w:ascii="Arial" w:hAnsi="Arial" w:cs="Arial"/>
          <w:i/>
          <w:sz w:val="20"/>
          <w:lang w:val="en-US"/>
        </w:rPr>
        <w:t>,</w:t>
      </w:r>
      <w:r w:rsidRPr="004A2790">
        <w:rPr>
          <w:rFonts w:ascii="Arial" w:hAnsi="Arial" w:cs="Arial"/>
          <w:i/>
          <w:sz w:val="20"/>
          <w:lang w:val="en-US"/>
        </w:rPr>
        <w:t xml:space="preserve"> în acelaşi timp</w:t>
      </w:r>
      <w:r>
        <w:rPr>
          <w:rFonts w:ascii="Arial" w:hAnsi="Arial" w:cs="Arial"/>
          <w:i/>
          <w:sz w:val="20"/>
          <w:lang w:val="en-US"/>
        </w:rPr>
        <w:t>,</w:t>
      </w:r>
      <w:r w:rsidRPr="004A2790">
        <w:rPr>
          <w:rFonts w:ascii="Arial" w:hAnsi="Arial" w:cs="Arial"/>
          <w:i/>
          <w:sz w:val="20"/>
          <w:lang w:val="en-US"/>
        </w:rPr>
        <w:t xml:space="preserve"> locurile de muncă şi supremaţia tehnologică în Europa. Europa nu îşi poate permite să piardă o industrie care contribuie la tranziţia către o economie cu emisii reduse de carbon şi, totodată, eficientă din punct de vedere al resurselor”, </w:t>
      </w:r>
      <w:r w:rsidRPr="004A2790">
        <w:rPr>
          <w:rFonts w:ascii="Arial" w:hAnsi="Arial" w:cs="Arial"/>
          <w:sz w:val="20"/>
          <w:lang w:val="en-US"/>
        </w:rPr>
        <w:t>a concluzionat Roeland Baan.</w:t>
      </w:r>
    </w:p>
    <w:p w:rsidR="00017F41" w:rsidRPr="004A2790" w:rsidRDefault="00017F41" w:rsidP="00D1620F">
      <w:pPr>
        <w:jc w:val="both"/>
        <w:rPr>
          <w:rFonts w:ascii="Arial" w:hAnsi="Arial" w:cs="Arial"/>
          <w:bCs/>
          <w:sz w:val="22"/>
          <w:szCs w:val="22"/>
        </w:rPr>
      </w:pPr>
    </w:p>
    <w:p w:rsidR="00017F41" w:rsidRPr="004A2790" w:rsidRDefault="00017F41" w:rsidP="00D1620F">
      <w:pPr>
        <w:shd w:val="clear" w:color="auto" w:fill="E6E6E6"/>
        <w:ind w:left="709"/>
        <w:jc w:val="both"/>
        <w:rPr>
          <w:rFonts w:ascii="Arial" w:hAnsi="Arial" w:cs="Arial"/>
          <w:b/>
          <w:sz w:val="20"/>
          <w:szCs w:val="22"/>
        </w:rPr>
      </w:pPr>
      <w:r w:rsidRPr="004A2790">
        <w:rPr>
          <w:rFonts w:ascii="Arial" w:hAnsi="Arial" w:cs="Arial"/>
          <w:b/>
          <w:sz w:val="20"/>
          <w:szCs w:val="22"/>
        </w:rPr>
        <w:t>Despre Asocia</w:t>
      </w:r>
      <w:r w:rsidRPr="004A2790">
        <w:rPr>
          <w:rFonts w:ascii="Arial" w:hAnsi="Calibri" w:cs="Arial"/>
          <w:b/>
          <w:sz w:val="20"/>
          <w:szCs w:val="22"/>
        </w:rPr>
        <w:t>ț</w:t>
      </w:r>
      <w:r w:rsidRPr="004A2790">
        <w:rPr>
          <w:rFonts w:ascii="Arial" w:hAnsi="Arial" w:cs="Arial"/>
          <w:b/>
          <w:sz w:val="20"/>
          <w:szCs w:val="22"/>
        </w:rPr>
        <w:t>ia Europeană a Aluminiului:</w:t>
      </w:r>
    </w:p>
    <w:p w:rsidR="00017F41" w:rsidRPr="004A2790" w:rsidRDefault="00017F41" w:rsidP="007066CD">
      <w:pPr>
        <w:shd w:val="clear" w:color="auto" w:fill="E6E6E6"/>
        <w:ind w:left="709"/>
        <w:jc w:val="both"/>
        <w:rPr>
          <w:rFonts w:ascii="Arial" w:hAnsi="Arial" w:cs="Arial"/>
          <w:i/>
          <w:sz w:val="20"/>
          <w:szCs w:val="22"/>
        </w:rPr>
      </w:pPr>
      <w:r w:rsidRPr="004A2790">
        <w:rPr>
          <w:rFonts w:ascii="Arial" w:hAnsi="Arial" w:cs="Arial"/>
          <w:sz w:val="20"/>
          <w:szCs w:val="22"/>
        </w:rPr>
        <w:t>Asocia</w:t>
      </w:r>
      <w:r w:rsidRPr="004A2790">
        <w:rPr>
          <w:rFonts w:ascii="Arial" w:hAnsi="Calibri"/>
          <w:sz w:val="20"/>
          <w:szCs w:val="22"/>
        </w:rPr>
        <w:t>ț</w:t>
      </w:r>
      <w:r w:rsidRPr="004A2790">
        <w:rPr>
          <w:rFonts w:ascii="Arial" w:hAnsi="Arial" w:cs="Arial"/>
          <w:sz w:val="20"/>
          <w:szCs w:val="22"/>
        </w:rPr>
        <w:t>ia Europeană a Aluminiului, fondată în 1981, reprezintă întregul lan</w:t>
      </w:r>
      <w:r w:rsidRPr="004A2790">
        <w:rPr>
          <w:rFonts w:ascii="Arial" w:hAnsi="Calibri"/>
          <w:sz w:val="20"/>
          <w:szCs w:val="22"/>
        </w:rPr>
        <w:t>ț</w:t>
      </w:r>
      <w:r w:rsidRPr="004A2790">
        <w:rPr>
          <w:rFonts w:ascii="Arial" w:hAnsi="Arial" w:cs="Arial"/>
          <w:sz w:val="20"/>
          <w:szCs w:val="22"/>
        </w:rPr>
        <w:t xml:space="preserve"> </w:t>
      </w:r>
      <w:r>
        <w:rPr>
          <w:rFonts w:ascii="Arial" w:hAnsi="Arial" w:cs="Arial"/>
          <w:sz w:val="20"/>
          <w:szCs w:val="22"/>
        </w:rPr>
        <w:t xml:space="preserve">de producţie </w:t>
      </w:r>
      <w:r w:rsidRPr="004A2790">
        <w:rPr>
          <w:rFonts w:ascii="Arial" w:hAnsi="Arial" w:cs="Arial"/>
          <w:sz w:val="20"/>
          <w:szCs w:val="22"/>
        </w:rPr>
        <w:t xml:space="preserve">al industriei europene </w:t>
      </w:r>
      <w:r>
        <w:rPr>
          <w:rFonts w:ascii="Arial" w:hAnsi="Arial" w:cs="Arial"/>
          <w:sz w:val="20"/>
          <w:szCs w:val="22"/>
        </w:rPr>
        <w:t>a</w:t>
      </w:r>
      <w:r w:rsidRPr="004A2790">
        <w:rPr>
          <w:rFonts w:ascii="Arial" w:hAnsi="Arial" w:cs="Arial"/>
          <w:sz w:val="20"/>
          <w:szCs w:val="22"/>
        </w:rPr>
        <w:t xml:space="preserve"> aluminiu</w:t>
      </w:r>
      <w:r>
        <w:rPr>
          <w:rFonts w:ascii="Arial" w:hAnsi="Arial" w:cs="Arial"/>
          <w:sz w:val="20"/>
          <w:szCs w:val="22"/>
        </w:rPr>
        <w:t>lui</w:t>
      </w:r>
      <w:r w:rsidRPr="004A2790">
        <w:rPr>
          <w:rFonts w:ascii="Arial" w:hAnsi="Arial" w:cs="Arial"/>
          <w:sz w:val="20"/>
          <w:szCs w:val="22"/>
        </w:rPr>
        <w:t>, de la alumin</w:t>
      </w:r>
      <w:r>
        <w:rPr>
          <w:rFonts w:ascii="Arial" w:hAnsi="Arial" w:cs="Arial"/>
          <w:sz w:val="20"/>
          <w:szCs w:val="22"/>
        </w:rPr>
        <w:t>ă</w:t>
      </w:r>
      <w:r w:rsidRPr="004A2790">
        <w:rPr>
          <w:rFonts w:ascii="Arial" w:hAnsi="Arial" w:cs="Arial"/>
          <w:sz w:val="20"/>
          <w:szCs w:val="22"/>
        </w:rPr>
        <w:t xml:space="preserve"> </w:t>
      </w:r>
      <w:r w:rsidRPr="004A2790">
        <w:rPr>
          <w:rFonts w:ascii="Arial" w:hAnsi="Calibri"/>
          <w:sz w:val="20"/>
          <w:szCs w:val="22"/>
        </w:rPr>
        <w:t>ș</w:t>
      </w:r>
      <w:r w:rsidRPr="004A2790">
        <w:rPr>
          <w:rFonts w:ascii="Arial" w:hAnsi="Arial" w:cs="Arial"/>
          <w:sz w:val="20"/>
          <w:szCs w:val="22"/>
        </w:rPr>
        <w:t xml:space="preserve">i </w:t>
      </w:r>
      <w:r>
        <w:rPr>
          <w:rFonts w:ascii="Arial" w:hAnsi="Arial" w:cs="Arial"/>
          <w:sz w:val="20"/>
          <w:szCs w:val="22"/>
        </w:rPr>
        <w:t>aluminium primar,</w:t>
      </w:r>
      <w:r w:rsidRPr="004A2790">
        <w:rPr>
          <w:rFonts w:ascii="Arial" w:hAnsi="Arial" w:cs="Arial"/>
          <w:sz w:val="20"/>
          <w:szCs w:val="22"/>
        </w:rPr>
        <w:t xml:space="preserve"> la produse semi-finite, finite </w:t>
      </w:r>
      <w:r w:rsidRPr="004A2790">
        <w:rPr>
          <w:rFonts w:ascii="Arial" w:hAnsi="Calibri"/>
          <w:sz w:val="20"/>
          <w:szCs w:val="22"/>
        </w:rPr>
        <w:t>ș</w:t>
      </w:r>
      <w:r w:rsidRPr="004A2790">
        <w:rPr>
          <w:rFonts w:ascii="Arial" w:hAnsi="Arial" w:cs="Arial"/>
          <w:sz w:val="20"/>
          <w:szCs w:val="22"/>
        </w:rPr>
        <w:t xml:space="preserve">i recilare. Industria europeană a aluminiului </w:t>
      </w:r>
      <w:r>
        <w:rPr>
          <w:rFonts w:ascii="Arial" w:hAnsi="Arial" w:cs="Arial"/>
          <w:sz w:val="20"/>
          <w:szCs w:val="22"/>
        </w:rPr>
        <w:t>asigură</w:t>
      </w:r>
      <w:r w:rsidRPr="004A2790">
        <w:rPr>
          <w:rFonts w:ascii="Arial" w:hAnsi="Arial" w:cs="Arial"/>
          <w:sz w:val="20"/>
          <w:szCs w:val="22"/>
        </w:rPr>
        <w:t xml:space="preserve"> direct locuri de muncă pentru aproximativ 255.000 de oameni </w:t>
      </w:r>
      <w:r w:rsidRPr="004A2790">
        <w:rPr>
          <w:rFonts w:ascii="Arial" w:hAnsi="Calibri"/>
          <w:sz w:val="20"/>
          <w:szCs w:val="22"/>
        </w:rPr>
        <w:t>ș</w:t>
      </w:r>
      <w:r>
        <w:rPr>
          <w:rFonts w:ascii="Arial" w:hAnsi="Arial" w:cs="Arial"/>
          <w:sz w:val="20"/>
          <w:szCs w:val="22"/>
        </w:rPr>
        <w:t>i înregistrează</w:t>
      </w:r>
      <w:r w:rsidRPr="004A2790">
        <w:rPr>
          <w:rFonts w:ascii="Arial" w:hAnsi="Arial" w:cs="Arial"/>
          <w:sz w:val="20"/>
          <w:szCs w:val="22"/>
        </w:rPr>
        <w:t xml:space="preserve"> venituri anuale de 39,7 miliarde de euro. </w:t>
      </w:r>
      <w:r w:rsidRPr="004A2790">
        <w:rPr>
          <w:rFonts w:ascii="Arial" w:hAnsi="Arial" w:cs="Arial"/>
          <w:i/>
          <w:sz w:val="20"/>
          <w:szCs w:val="22"/>
        </w:rPr>
        <w:t>Pentru informa</w:t>
      </w:r>
      <w:r w:rsidRPr="004A2790">
        <w:rPr>
          <w:rFonts w:ascii="Arial" w:hAnsi="Calibri" w:cs="Arial"/>
          <w:i/>
          <w:sz w:val="20"/>
          <w:szCs w:val="22"/>
        </w:rPr>
        <w:t>ț</w:t>
      </w:r>
      <w:r w:rsidRPr="004A2790">
        <w:rPr>
          <w:rFonts w:ascii="Arial" w:hAnsi="Arial" w:cs="Arial"/>
          <w:i/>
          <w:sz w:val="20"/>
          <w:szCs w:val="22"/>
        </w:rPr>
        <w:t>ii</w:t>
      </w:r>
      <w:r>
        <w:rPr>
          <w:rFonts w:ascii="Arial" w:hAnsi="Arial" w:cs="Arial"/>
          <w:i/>
          <w:sz w:val="20"/>
          <w:szCs w:val="22"/>
        </w:rPr>
        <w:t xml:space="preserve"> suplimentare</w:t>
      </w:r>
      <w:r w:rsidRPr="004A2790">
        <w:rPr>
          <w:rFonts w:ascii="Arial" w:hAnsi="Arial" w:cs="Arial"/>
          <w:i/>
          <w:sz w:val="20"/>
          <w:szCs w:val="22"/>
        </w:rPr>
        <w:t>, vă rugăm accesa</w:t>
      </w:r>
      <w:r w:rsidRPr="004A2790">
        <w:rPr>
          <w:rFonts w:ascii="Arial" w:hAnsi="Calibri" w:cs="Arial"/>
          <w:i/>
          <w:sz w:val="20"/>
          <w:szCs w:val="22"/>
        </w:rPr>
        <w:t>ț</w:t>
      </w:r>
      <w:r w:rsidRPr="004A2790">
        <w:rPr>
          <w:rFonts w:ascii="Arial" w:hAnsi="Arial" w:cs="Arial"/>
          <w:i/>
          <w:sz w:val="20"/>
          <w:szCs w:val="22"/>
        </w:rPr>
        <w:t xml:space="preserve">i </w:t>
      </w:r>
      <w:hyperlink r:id="rId7" w:history="1">
        <w:r w:rsidRPr="004A2790">
          <w:rPr>
            <w:rStyle w:val="Hyperlink"/>
            <w:rFonts w:ascii="Arial" w:hAnsi="Arial" w:cs="Arial"/>
            <w:i/>
            <w:sz w:val="20"/>
            <w:szCs w:val="22"/>
          </w:rPr>
          <w:t>www.alueurope.eu</w:t>
        </w:r>
      </w:hyperlink>
    </w:p>
    <w:p w:rsidR="00017F41" w:rsidRPr="004A2790" w:rsidRDefault="00017F41" w:rsidP="007066CD">
      <w:pPr>
        <w:shd w:val="clear" w:color="auto" w:fill="E6E6E6"/>
        <w:ind w:left="709"/>
        <w:jc w:val="both"/>
        <w:rPr>
          <w:rFonts w:ascii="Arial" w:hAnsi="Arial" w:cs="Arial"/>
          <w:i/>
          <w:sz w:val="20"/>
          <w:szCs w:val="22"/>
        </w:rPr>
      </w:pPr>
    </w:p>
    <w:p w:rsidR="00017F41" w:rsidRPr="004A2790" w:rsidRDefault="00017F41" w:rsidP="00D1620F">
      <w:pPr>
        <w:shd w:val="clear" w:color="auto" w:fill="E6E6E6"/>
        <w:ind w:left="709"/>
        <w:jc w:val="both"/>
        <w:rPr>
          <w:rFonts w:ascii="Arial" w:eastAsia="MS Mincho" w:hAnsi="Arial" w:cs="Arial"/>
          <w:b/>
          <w:sz w:val="20"/>
          <w:szCs w:val="22"/>
          <w:lang w:eastAsia="ja-JP"/>
        </w:rPr>
      </w:pPr>
      <w:r w:rsidRPr="004A2790">
        <w:rPr>
          <w:rFonts w:ascii="Arial" w:eastAsia="MS Mincho" w:hAnsi="Arial" w:cs="Arial"/>
          <w:b/>
          <w:sz w:val="20"/>
          <w:szCs w:val="22"/>
          <w:lang w:eastAsia="ja-JP"/>
        </w:rPr>
        <w:t>Pentru mai multe informa</w:t>
      </w:r>
      <w:r w:rsidRPr="004A2790">
        <w:rPr>
          <w:rFonts w:ascii="Arial" w:eastAsia="MS Mincho" w:hAnsi="Calibri" w:cs="Arial"/>
          <w:b/>
          <w:sz w:val="20"/>
          <w:szCs w:val="22"/>
          <w:lang w:eastAsia="ja-JP"/>
        </w:rPr>
        <w:t>ț</w:t>
      </w:r>
      <w:r w:rsidRPr="004A2790">
        <w:rPr>
          <w:rFonts w:ascii="Arial" w:eastAsia="MS Mincho" w:hAnsi="Arial" w:cs="Arial"/>
          <w:b/>
          <w:sz w:val="20"/>
          <w:szCs w:val="22"/>
          <w:lang w:eastAsia="ja-JP"/>
        </w:rPr>
        <w:t>ii, vă rugăm contacta</w:t>
      </w:r>
      <w:r w:rsidRPr="004A2790">
        <w:rPr>
          <w:rFonts w:ascii="Arial" w:eastAsia="MS Mincho" w:hAnsi="Calibri" w:cs="Arial"/>
          <w:b/>
          <w:sz w:val="20"/>
          <w:szCs w:val="22"/>
          <w:lang w:eastAsia="ja-JP"/>
        </w:rPr>
        <w:t>ț</w:t>
      </w:r>
      <w:r w:rsidRPr="004A2790">
        <w:rPr>
          <w:rFonts w:ascii="Arial" w:eastAsia="MS Mincho" w:hAnsi="Arial" w:cs="Arial"/>
          <w:b/>
          <w:sz w:val="20"/>
          <w:szCs w:val="22"/>
          <w:lang w:eastAsia="ja-JP"/>
        </w:rPr>
        <w:t xml:space="preserve">i: </w:t>
      </w:r>
    </w:p>
    <w:p w:rsidR="00017F41" w:rsidRPr="004A2790" w:rsidRDefault="00017F41" w:rsidP="00D1620F">
      <w:pPr>
        <w:shd w:val="clear" w:color="auto" w:fill="E6E6E6"/>
        <w:tabs>
          <w:tab w:val="left" w:pos="1620"/>
        </w:tabs>
        <w:ind w:left="709"/>
        <w:jc w:val="both"/>
        <w:rPr>
          <w:rFonts w:ascii="Arial" w:hAnsi="Arial" w:cs="Arial"/>
          <w:sz w:val="20"/>
          <w:szCs w:val="22"/>
        </w:rPr>
      </w:pPr>
      <w:r w:rsidRPr="004A2790">
        <w:rPr>
          <w:rFonts w:ascii="Arial" w:hAnsi="Arial" w:cs="Arial"/>
          <w:sz w:val="20"/>
          <w:szCs w:val="22"/>
        </w:rPr>
        <w:t xml:space="preserve">Erich Cuaz, </w:t>
      </w:r>
      <w:r>
        <w:rPr>
          <w:rFonts w:ascii="Arial" w:hAnsi="Arial" w:cs="Arial"/>
          <w:sz w:val="20"/>
          <w:szCs w:val="22"/>
        </w:rPr>
        <w:t xml:space="preserve">Director de </w:t>
      </w:r>
      <w:r w:rsidRPr="004A2790">
        <w:rPr>
          <w:rFonts w:ascii="Arial" w:hAnsi="Arial" w:cs="Arial"/>
          <w:sz w:val="20"/>
          <w:szCs w:val="22"/>
        </w:rPr>
        <w:t xml:space="preserve">Public Affairs </w:t>
      </w:r>
      <w:r w:rsidRPr="004A2790">
        <w:rPr>
          <w:rFonts w:ascii="Arial" w:hAnsi="Calibri"/>
          <w:sz w:val="20"/>
          <w:szCs w:val="22"/>
        </w:rPr>
        <w:t>ș</w:t>
      </w:r>
      <w:r w:rsidRPr="004A2790">
        <w:rPr>
          <w:rFonts w:ascii="Arial" w:hAnsi="Arial" w:cs="Arial"/>
          <w:sz w:val="20"/>
          <w:szCs w:val="22"/>
        </w:rPr>
        <w:t>i de Comunicare</w:t>
      </w:r>
      <w:bookmarkStart w:id="0" w:name="_GoBack"/>
      <w:bookmarkEnd w:id="0"/>
      <w:r w:rsidRPr="004A2790">
        <w:rPr>
          <w:rFonts w:ascii="Arial" w:hAnsi="Arial" w:cs="Arial"/>
          <w:sz w:val="20"/>
          <w:szCs w:val="22"/>
        </w:rPr>
        <w:t xml:space="preserve"> </w:t>
      </w:r>
    </w:p>
    <w:p w:rsidR="00017F41" w:rsidRPr="004A2790" w:rsidRDefault="00017F41" w:rsidP="00D1620F">
      <w:pPr>
        <w:shd w:val="clear" w:color="auto" w:fill="E6E6E6"/>
        <w:tabs>
          <w:tab w:val="left" w:pos="1620"/>
        </w:tabs>
        <w:ind w:left="709"/>
        <w:jc w:val="both"/>
        <w:rPr>
          <w:rFonts w:ascii="Arial" w:hAnsi="Arial" w:cs="Arial"/>
          <w:sz w:val="20"/>
          <w:szCs w:val="22"/>
          <w:lang w:val="en-US"/>
        </w:rPr>
      </w:pPr>
      <w:r w:rsidRPr="004A2790">
        <w:rPr>
          <w:rFonts w:ascii="Arial" w:hAnsi="Arial" w:cs="Arial"/>
          <w:sz w:val="20"/>
          <w:szCs w:val="22"/>
          <w:lang w:val="en-US"/>
        </w:rPr>
        <w:t xml:space="preserve">Tel +32 (0)2 775 63 59, </w:t>
      </w:r>
      <w:r w:rsidRPr="004A2790">
        <w:rPr>
          <w:rFonts w:ascii="Arial" w:hAnsi="Arial" w:cs="Arial"/>
          <w:sz w:val="20"/>
          <w:szCs w:val="22"/>
        </w:rPr>
        <w:t xml:space="preserve">Email </w:t>
      </w:r>
      <w:hyperlink r:id="rId8" w:history="1">
        <w:r w:rsidRPr="004A2790">
          <w:rPr>
            <w:rFonts w:ascii="Arial" w:hAnsi="Arial" w:cs="Arial"/>
            <w:color w:val="0000FF"/>
            <w:sz w:val="20"/>
            <w:szCs w:val="22"/>
            <w:u w:val="single"/>
          </w:rPr>
          <w:t>cuaz@eaa.be</w:t>
        </w:r>
      </w:hyperlink>
    </w:p>
    <w:p w:rsidR="00017F41" w:rsidRPr="004A2790" w:rsidRDefault="00017F41" w:rsidP="00966C9A">
      <w:pPr>
        <w:ind w:left="709"/>
        <w:rPr>
          <w:rFonts w:ascii="Arial" w:hAnsi="Arial"/>
        </w:rPr>
      </w:pPr>
    </w:p>
    <w:sectPr w:rsidR="00017F41" w:rsidRPr="004A2790" w:rsidSect="00D1620F">
      <w:headerReference w:type="default" r:id="rId9"/>
      <w:footerReference w:type="default" r:id="rId10"/>
      <w:headerReference w:type="first" r:id="rId11"/>
      <w:footerReference w:type="first" r:id="rId12"/>
      <w:pgSz w:w="11906" w:h="16838" w:code="9"/>
      <w:pgMar w:top="3894" w:right="1247" w:bottom="1247" w:left="1797" w:header="1797" w:footer="2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41" w:rsidRDefault="00017F41">
      <w:r>
        <w:separator/>
      </w:r>
    </w:p>
  </w:endnote>
  <w:endnote w:type="continuationSeparator" w:id="0">
    <w:p w:rsidR="00017F41" w:rsidRDefault="00017F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41" w:rsidRDefault="00017F41">
    <w:pPr>
      <w:pStyle w:val="Footer"/>
      <w:ind w:left="5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41" w:rsidRDefault="00017F41" w:rsidP="00D1620F">
    <w:pPr>
      <w:pStyle w:val="Footer"/>
      <w:tabs>
        <w:tab w:val="clear" w:pos="4153"/>
        <w:tab w:val="clear" w:pos="8306"/>
        <w:tab w:val="left" w:pos="3631"/>
      </w:tabs>
      <w:ind w:firstLine="539"/>
    </w:pPr>
  </w:p>
  <w:p w:rsidR="00017F41" w:rsidRPr="00C52547" w:rsidRDefault="00017F41" w:rsidP="00D1620F">
    <w:pPr>
      <w:pStyle w:val="Footer"/>
      <w:tabs>
        <w:tab w:val="clear" w:pos="4153"/>
        <w:tab w:val="clear" w:pos="8306"/>
        <w:tab w:val="left" w:pos="3631"/>
      </w:tabs>
      <w:ind w:firstLine="539"/>
      <w:rPr>
        <w:rFonts w:ascii="Arial" w:hAnsi="Arial" w:cs="Arial"/>
        <w:noProof/>
        <w:color w:val="4D4D4D"/>
        <w:sz w:val="16"/>
        <w:szCs w:val="16"/>
        <w:lang w:val="fr-BE" w:eastAsia="de-DE"/>
      </w:rPr>
    </w:pPr>
    <w:r w:rsidRPr="00C52547">
      <w:rPr>
        <w:rFonts w:ascii="Arial" w:hAnsi="Arial" w:cs="Arial"/>
        <w:noProof/>
        <w:color w:val="4D4D4D"/>
        <w:sz w:val="16"/>
        <w:szCs w:val="16"/>
        <w:lang w:val="fr-BE" w:eastAsia="de-DE"/>
      </w:rPr>
      <w:t>Avenue de Broqueville, 12</w:t>
    </w:r>
  </w:p>
  <w:p w:rsidR="00017F41" w:rsidRPr="00C52547" w:rsidRDefault="00017F41" w:rsidP="00D1620F">
    <w:pPr>
      <w:tabs>
        <w:tab w:val="left" w:pos="3631"/>
      </w:tabs>
      <w:ind w:firstLine="539"/>
      <w:rPr>
        <w:rFonts w:ascii="Arial" w:hAnsi="Arial" w:cs="Arial"/>
        <w:noProof/>
        <w:color w:val="4D4D4D"/>
        <w:sz w:val="16"/>
        <w:szCs w:val="16"/>
        <w:lang w:val="fr-BE" w:eastAsia="de-DE"/>
      </w:rPr>
    </w:pPr>
    <w:r w:rsidRPr="00C52547">
      <w:rPr>
        <w:rFonts w:ascii="Arial" w:hAnsi="Arial" w:cs="Arial"/>
        <w:noProof/>
        <w:color w:val="4D4D4D"/>
        <w:sz w:val="16"/>
        <w:szCs w:val="16"/>
        <w:lang w:val="fr-BE" w:eastAsia="de-DE"/>
      </w:rPr>
      <w:t>B – 1150 Brussels, Belgium</w:t>
    </w:r>
  </w:p>
  <w:p w:rsidR="00017F41" w:rsidRPr="00C52547" w:rsidRDefault="00017F41" w:rsidP="00D1620F">
    <w:pPr>
      <w:tabs>
        <w:tab w:val="left" w:pos="3631"/>
      </w:tabs>
      <w:ind w:firstLine="539"/>
      <w:rPr>
        <w:rFonts w:ascii="Arial" w:hAnsi="Arial" w:cs="Arial"/>
        <w:noProof/>
        <w:color w:val="4D4D4D"/>
        <w:sz w:val="16"/>
        <w:szCs w:val="16"/>
        <w:lang w:val="fr-BE" w:eastAsia="de-DE"/>
      </w:rPr>
    </w:pPr>
    <w:r w:rsidRPr="00C52547">
      <w:rPr>
        <w:rFonts w:ascii="Arial" w:hAnsi="Arial" w:cs="Arial"/>
        <w:noProof/>
        <w:color w:val="4D4D4D"/>
        <w:sz w:val="16"/>
        <w:szCs w:val="16"/>
        <w:lang w:val="fr-BE" w:eastAsia="de-DE"/>
      </w:rPr>
      <w:t>Phone: + 32 2 775 63 63</w:t>
    </w:r>
  </w:p>
  <w:p w:rsidR="00017F41" w:rsidRPr="00C52547" w:rsidRDefault="00017F41" w:rsidP="00D1620F">
    <w:pPr>
      <w:tabs>
        <w:tab w:val="left" w:pos="3631"/>
      </w:tabs>
      <w:ind w:firstLine="539"/>
      <w:rPr>
        <w:rFonts w:ascii="Arial" w:hAnsi="Arial" w:cs="Arial"/>
        <w:noProof/>
        <w:color w:val="4D4D4D"/>
        <w:sz w:val="16"/>
        <w:szCs w:val="16"/>
        <w:lang w:val="fr-BE" w:eastAsia="de-DE"/>
      </w:rPr>
    </w:pPr>
    <w:r w:rsidRPr="00C52547">
      <w:rPr>
        <w:rFonts w:ascii="Arial" w:hAnsi="Arial" w:cs="Arial"/>
        <w:noProof/>
        <w:color w:val="4D4D4D"/>
        <w:sz w:val="16"/>
        <w:szCs w:val="16"/>
        <w:lang w:val="fr-BE" w:eastAsia="de-DE"/>
      </w:rPr>
      <w:t>Fax: + 32 2 779 05 31</w:t>
    </w:r>
  </w:p>
  <w:p w:rsidR="00017F41" w:rsidRPr="00C52547" w:rsidRDefault="00017F41" w:rsidP="00D1620F">
    <w:pPr>
      <w:tabs>
        <w:tab w:val="left" w:pos="3631"/>
      </w:tabs>
      <w:ind w:firstLine="539"/>
      <w:rPr>
        <w:rFonts w:ascii="Arial" w:hAnsi="Arial" w:cs="Arial"/>
        <w:noProof/>
        <w:color w:val="4D4D4D"/>
        <w:sz w:val="16"/>
        <w:szCs w:val="16"/>
        <w:lang w:val="fr-BE" w:eastAsia="de-DE"/>
      </w:rPr>
    </w:pPr>
    <w:r w:rsidRPr="00C52547">
      <w:rPr>
        <w:rFonts w:ascii="Arial" w:hAnsi="Arial" w:cs="Arial"/>
        <w:noProof/>
        <w:color w:val="4D4D4D"/>
        <w:sz w:val="16"/>
        <w:szCs w:val="16"/>
        <w:lang w:val="fr-BE" w:eastAsia="de-DE"/>
      </w:rPr>
      <w:t xml:space="preserve">Email: eaa@eaa.be  </w:t>
    </w:r>
  </w:p>
  <w:p w:rsidR="00017F41" w:rsidRPr="00D1620F" w:rsidRDefault="00017F41" w:rsidP="00D1620F">
    <w:pPr>
      <w:tabs>
        <w:tab w:val="left" w:pos="3631"/>
      </w:tabs>
      <w:ind w:firstLine="539"/>
      <w:rPr>
        <w:rFonts w:ascii="Arial" w:hAnsi="Arial" w:cs="Arial"/>
        <w:noProof/>
        <w:color w:val="4D4D4D"/>
        <w:sz w:val="16"/>
        <w:szCs w:val="16"/>
        <w:lang w:val="de-DE" w:eastAsia="de-DE"/>
      </w:rPr>
    </w:pPr>
    <w:r w:rsidRPr="00D1620F">
      <w:rPr>
        <w:rFonts w:ascii="Arial" w:hAnsi="Arial" w:cs="Arial"/>
        <w:noProof/>
        <w:color w:val="4D4D4D"/>
        <w:sz w:val="16"/>
        <w:szCs w:val="16"/>
        <w:lang w:val="de-DE" w:eastAsia="de-DE"/>
      </w:rPr>
      <w:t xml:space="preserve">Website: </w:t>
    </w:r>
    <w:hyperlink r:id="rId1" w:history="1">
      <w:r w:rsidRPr="00D1620F">
        <w:rPr>
          <w:rFonts w:ascii="Arial" w:hAnsi="Arial" w:cs="Arial"/>
          <w:noProof/>
          <w:color w:val="4D4D4D"/>
          <w:sz w:val="16"/>
          <w:szCs w:val="16"/>
          <w:lang w:val="de-DE" w:eastAsia="de-DE"/>
        </w:rPr>
        <w:t>www.alueurope.eu</w:t>
      </w:r>
    </w:hyperlink>
  </w:p>
  <w:p w:rsidR="00017F41" w:rsidRDefault="00017F41">
    <w:pPr>
      <w:pStyle w:val="Footer"/>
      <w:ind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41" w:rsidRDefault="00017F41">
      <w:r>
        <w:separator/>
      </w:r>
    </w:p>
  </w:footnote>
  <w:footnote w:type="continuationSeparator" w:id="0">
    <w:p w:rsidR="00017F41" w:rsidRDefault="00017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41" w:rsidRDefault="00017F41">
    <w:pPr>
      <w:pStyle w:val="Header"/>
    </w:pPr>
    <w:r w:rsidRPr="00817C9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eaa logo gray" style="width:265.5pt;height:61.5pt;visibility:visible">
          <v:imagedata r:id="rId1" o:title=""/>
        </v:shape>
      </w:pict>
    </w:r>
  </w:p>
  <w:p w:rsidR="00017F41" w:rsidRDefault="00017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41" w:rsidRDefault="00017F41">
    <w:pPr>
      <w:pStyle w:val="Header"/>
    </w:pPr>
    <w:r w:rsidRPr="00817C9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eaa logo gray" style="width:265.5pt;height:61.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892"/>
    <w:multiLevelType w:val="hybridMultilevel"/>
    <w:tmpl w:val="AEEE4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B4281E"/>
    <w:multiLevelType w:val="hybridMultilevel"/>
    <w:tmpl w:val="7BACD4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1D6D1F02"/>
    <w:multiLevelType w:val="hybridMultilevel"/>
    <w:tmpl w:val="33D83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C031DD"/>
    <w:multiLevelType w:val="hybridMultilevel"/>
    <w:tmpl w:val="70CA5D8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nsid w:val="23966E2D"/>
    <w:multiLevelType w:val="hybridMultilevel"/>
    <w:tmpl w:val="D250E9DA"/>
    <w:lvl w:ilvl="0" w:tplc="9E00DAA4">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B744035"/>
    <w:multiLevelType w:val="hybridMultilevel"/>
    <w:tmpl w:val="37366220"/>
    <w:lvl w:ilvl="0" w:tplc="19CAC676">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05707A4"/>
    <w:multiLevelType w:val="hybridMultilevel"/>
    <w:tmpl w:val="46F223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252091A"/>
    <w:multiLevelType w:val="hybridMultilevel"/>
    <w:tmpl w:val="DA9AF1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4C1F0AB6"/>
    <w:multiLevelType w:val="hybridMultilevel"/>
    <w:tmpl w:val="8460BF0C"/>
    <w:lvl w:ilvl="0" w:tplc="9E00DAA4">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60074253"/>
    <w:multiLevelType w:val="hybridMultilevel"/>
    <w:tmpl w:val="7A5EE084"/>
    <w:lvl w:ilvl="0" w:tplc="46E42952">
      <w:start w:val="1"/>
      <w:numFmt w:val="decimal"/>
      <w:lvlText w:val="%1)"/>
      <w:lvlJc w:val="left"/>
      <w:pPr>
        <w:ind w:left="927" w:hanging="36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nsid w:val="6D6B6379"/>
    <w:multiLevelType w:val="hybridMultilevel"/>
    <w:tmpl w:val="C9D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5B66D7"/>
    <w:multiLevelType w:val="hybridMultilevel"/>
    <w:tmpl w:val="B9E63084"/>
    <w:lvl w:ilvl="0" w:tplc="19A410C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5772D89"/>
    <w:multiLevelType w:val="hybridMultilevel"/>
    <w:tmpl w:val="34529E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6"/>
  </w:num>
  <w:num w:numId="2">
    <w:abstractNumId w:val="10"/>
  </w:num>
  <w:num w:numId="3">
    <w:abstractNumId w:val="9"/>
  </w:num>
  <w:num w:numId="4">
    <w:abstractNumId w:val="12"/>
  </w:num>
  <w:num w:numId="5">
    <w:abstractNumId w:val="3"/>
  </w:num>
  <w:num w:numId="6">
    <w:abstractNumId w:val="5"/>
  </w:num>
  <w:num w:numId="7">
    <w:abstractNumId w:val="2"/>
  </w:num>
  <w:num w:numId="8">
    <w:abstractNumId w:val="4"/>
  </w:num>
  <w:num w:numId="9">
    <w:abstractNumId w:val="8"/>
  </w:num>
  <w:num w:numId="10">
    <w:abstractNumId w:val="0"/>
  </w:num>
  <w:num w:numId="11">
    <w:abstractNumId w:val="11"/>
  </w:num>
  <w:num w:numId="12">
    <w:abstractNumId w:val="1"/>
  </w:num>
  <w:num w:numId="13">
    <w:abstractNumId w:val="7"/>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384"/>
    <w:rsid w:val="00000B16"/>
    <w:rsid w:val="000012A1"/>
    <w:rsid w:val="00003ABA"/>
    <w:rsid w:val="00016E20"/>
    <w:rsid w:val="00017F41"/>
    <w:rsid w:val="00025791"/>
    <w:rsid w:val="00047FC2"/>
    <w:rsid w:val="00061DD0"/>
    <w:rsid w:val="000654DB"/>
    <w:rsid w:val="00077C3F"/>
    <w:rsid w:val="00083D6F"/>
    <w:rsid w:val="0009377D"/>
    <w:rsid w:val="000A46F6"/>
    <w:rsid w:val="000A68C2"/>
    <w:rsid w:val="000B5385"/>
    <w:rsid w:val="000B60FF"/>
    <w:rsid w:val="000B7D9D"/>
    <w:rsid w:val="000D0F87"/>
    <w:rsid w:val="000D4434"/>
    <w:rsid w:val="000D44CA"/>
    <w:rsid w:val="000D4A24"/>
    <w:rsid w:val="000D70B6"/>
    <w:rsid w:val="000F1571"/>
    <w:rsid w:val="000F1F65"/>
    <w:rsid w:val="000F26D9"/>
    <w:rsid w:val="000F57BE"/>
    <w:rsid w:val="00111D8E"/>
    <w:rsid w:val="001127A8"/>
    <w:rsid w:val="00123B77"/>
    <w:rsid w:val="0014463B"/>
    <w:rsid w:val="00144C5F"/>
    <w:rsid w:val="001664BB"/>
    <w:rsid w:val="00172BEA"/>
    <w:rsid w:val="001760EA"/>
    <w:rsid w:val="00177633"/>
    <w:rsid w:val="00183463"/>
    <w:rsid w:val="00191049"/>
    <w:rsid w:val="001A1442"/>
    <w:rsid w:val="001A6762"/>
    <w:rsid w:val="001A693A"/>
    <w:rsid w:val="001A6958"/>
    <w:rsid w:val="001B1247"/>
    <w:rsid w:val="001E165C"/>
    <w:rsid w:val="001E16D6"/>
    <w:rsid w:val="001E5128"/>
    <w:rsid w:val="001E6FF8"/>
    <w:rsid w:val="001F0997"/>
    <w:rsid w:val="001F1760"/>
    <w:rsid w:val="001F7311"/>
    <w:rsid w:val="00206DB3"/>
    <w:rsid w:val="00234E4C"/>
    <w:rsid w:val="00235395"/>
    <w:rsid w:val="00264A4E"/>
    <w:rsid w:val="002727D8"/>
    <w:rsid w:val="00293C9C"/>
    <w:rsid w:val="00294FC6"/>
    <w:rsid w:val="002C6BE1"/>
    <w:rsid w:val="002E31B2"/>
    <w:rsid w:val="002E38BF"/>
    <w:rsid w:val="002E5815"/>
    <w:rsid w:val="002E6939"/>
    <w:rsid w:val="002F53BC"/>
    <w:rsid w:val="002F68BB"/>
    <w:rsid w:val="0030432C"/>
    <w:rsid w:val="003102FB"/>
    <w:rsid w:val="00316C46"/>
    <w:rsid w:val="00317F36"/>
    <w:rsid w:val="00325CA2"/>
    <w:rsid w:val="0033463B"/>
    <w:rsid w:val="003404D0"/>
    <w:rsid w:val="003478E8"/>
    <w:rsid w:val="003642D5"/>
    <w:rsid w:val="003730B2"/>
    <w:rsid w:val="00377C7D"/>
    <w:rsid w:val="00382C0E"/>
    <w:rsid w:val="00382E5F"/>
    <w:rsid w:val="003910E8"/>
    <w:rsid w:val="00392383"/>
    <w:rsid w:val="003A2F01"/>
    <w:rsid w:val="003B7CA1"/>
    <w:rsid w:val="003C3F50"/>
    <w:rsid w:val="003F1DB0"/>
    <w:rsid w:val="003F5604"/>
    <w:rsid w:val="00400C8C"/>
    <w:rsid w:val="00403FBB"/>
    <w:rsid w:val="004102D9"/>
    <w:rsid w:val="00412238"/>
    <w:rsid w:val="00426E16"/>
    <w:rsid w:val="0044140F"/>
    <w:rsid w:val="0045463D"/>
    <w:rsid w:val="004546B4"/>
    <w:rsid w:val="00457970"/>
    <w:rsid w:val="0046283A"/>
    <w:rsid w:val="00474625"/>
    <w:rsid w:val="00475985"/>
    <w:rsid w:val="00487C29"/>
    <w:rsid w:val="00491A8D"/>
    <w:rsid w:val="00497A9E"/>
    <w:rsid w:val="004A2515"/>
    <w:rsid w:val="004A2790"/>
    <w:rsid w:val="004A662A"/>
    <w:rsid w:val="004D3A33"/>
    <w:rsid w:val="004E4610"/>
    <w:rsid w:val="00500EE3"/>
    <w:rsid w:val="00521F04"/>
    <w:rsid w:val="005220CE"/>
    <w:rsid w:val="00522C5B"/>
    <w:rsid w:val="00524336"/>
    <w:rsid w:val="005252F6"/>
    <w:rsid w:val="00526F0F"/>
    <w:rsid w:val="00527C03"/>
    <w:rsid w:val="00537FC9"/>
    <w:rsid w:val="00571711"/>
    <w:rsid w:val="00577238"/>
    <w:rsid w:val="0058165A"/>
    <w:rsid w:val="00582D86"/>
    <w:rsid w:val="00591F00"/>
    <w:rsid w:val="00595A46"/>
    <w:rsid w:val="005A5F2C"/>
    <w:rsid w:val="005E5A7C"/>
    <w:rsid w:val="005E6221"/>
    <w:rsid w:val="005E7D6D"/>
    <w:rsid w:val="005F271A"/>
    <w:rsid w:val="005F7B54"/>
    <w:rsid w:val="006044FE"/>
    <w:rsid w:val="0060526D"/>
    <w:rsid w:val="006231E7"/>
    <w:rsid w:val="00641CDE"/>
    <w:rsid w:val="00652D6E"/>
    <w:rsid w:val="00655A2F"/>
    <w:rsid w:val="0066211C"/>
    <w:rsid w:val="00663D5F"/>
    <w:rsid w:val="006669CF"/>
    <w:rsid w:val="006742D7"/>
    <w:rsid w:val="006746F8"/>
    <w:rsid w:val="0068002A"/>
    <w:rsid w:val="00681321"/>
    <w:rsid w:val="006905EC"/>
    <w:rsid w:val="006B362B"/>
    <w:rsid w:val="006B3F78"/>
    <w:rsid w:val="006C2B37"/>
    <w:rsid w:val="006C6A0C"/>
    <w:rsid w:val="006C6CE5"/>
    <w:rsid w:val="006C7FEC"/>
    <w:rsid w:val="006D10D3"/>
    <w:rsid w:val="006D21A6"/>
    <w:rsid w:val="006D26F0"/>
    <w:rsid w:val="006F357D"/>
    <w:rsid w:val="007066CD"/>
    <w:rsid w:val="00722136"/>
    <w:rsid w:val="007221C0"/>
    <w:rsid w:val="00724424"/>
    <w:rsid w:val="00724812"/>
    <w:rsid w:val="007255F8"/>
    <w:rsid w:val="00726A8B"/>
    <w:rsid w:val="00727ECB"/>
    <w:rsid w:val="00754EFF"/>
    <w:rsid w:val="007760AA"/>
    <w:rsid w:val="00777297"/>
    <w:rsid w:val="007773E5"/>
    <w:rsid w:val="007851F2"/>
    <w:rsid w:val="00786AB9"/>
    <w:rsid w:val="0078790B"/>
    <w:rsid w:val="0079227B"/>
    <w:rsid w:val="0079566C"/>
    <w:rsid w:val="007A4AE4"/>
    <w:rsid w:val="007B4357"/>
    <w:rsid w:val="007C2C6A"/>
    <w:rsid w:val="007C52EB"/>
    <w:rsid w:val="007E6A0F"/>
    <w:rsid w:val="00814D51"/>
    <w:rsid w:val="00817455"/>
    <w:rsid w:val="00817C94"/>
    <w:rsid w:val="00837200"/>
    <w:rsid w:val="0086782E"/>
    <w:rsid w:val="00870A4B"/>
    <w:rsid w:val="008806FC"/>
    <w:rsid w:val="00884171"/>
    <w:rsid w:val="00885DE5"/>
    <w:rsid w:val="0088672D"/>
    <w:rsid w:val="008917A6"/>
    <w:rsid w:val="008925AE"/>
    <w:rsid w:val="00894128"/>
    <w:rsid w:val="00895E7D"/>
    <w:rsid w:val="008A2D50"/>
    <w:rsid w:val="008C13F9"/>
    <w:rsid w:val="008C611E"/>
    <w:rsid w:val="008C7698"/>
    <w:rsid w:val="008D1AEB"/>
    <w:rsid w:val="008D4FE5"/>
    <w:rsid w:val="008E0FC0"/>
    <w:rsid w:val="008E1F4C"/>
    <w:rsid w:val="008E6CC5"/>
    <w:rsid w:val="008F164F"/>
    <w:rsid w:val="008F45E5"/>
    <w:rsid w:val="00906BF1"/>
    <w:rsid w:val="0092687E"/>
    <w:rsid w:val="00933319"/>
    <w:rsid w:val="009457F7"/>
    <w:rsid w:val="0095683B"/>
    <w:rsid w:val="00966499"/>
    <w:rsid w:val="00966C9A"/>
    <w:rsid w:val="009771D8"/>
    <w:rsid w:val="009774BC"/>
    <w:rsid w:val="00990E40"/>
    <w:rsid w:val="00994D48"/>
    <w:rsid w:val="009A5A7A"/>
    <w:rsid w:val="009B14C8"/>
    <w:rsid w:val="009B50B1"/>
    <w:rsid w:val="009C0177"/>
    <w:rsid w:val="009D4A8A"/>
    <w:rsid w:val="009D6C04"/>
    <w:rsid w:val="009E086F"/>
    <w:rsid w:val="009E7675"/>
    <w:rsid w:val="009F0D28"/>
    <w:rsid w:val="009F2BDA"/>
    <w:rsid w:val="00A15361"/>
    <w:rsid w:val="00A176B9"/>
    <w:rsid w:val="00A23234"/>
    <w:rsid w:val="00A26DE5"/>
    <w:rsid w:val="00A328B3"/>
    <w:rsid w:val="00A564DD"/>
    <w:rsid w:val="00A71943"/>
    <w:rsid w:val="00A80BF7"/>
    <w:rsid w:val="00A8264D"/>
    <w:rsid w:val="00A86A09"/>
    <w:rsid w:val="00AC13B3"/>
    <w:rsid w:val="00AC607C"/>
    <w:rsid w:val="00AE3C91"/>
    <w:rsid w:val="00AE7ECC"/>
    <w:rsid w:val="00AF3AFE"/>
    <w:rsid w:val="00AF619C"/>
    <w:rsid w:val="00B211C9"/>
    <w:rsid w:val="00B21D90"/>
    <w:rsid w:val="00B3643D"/>
    <w:rsid w:val="00B57A86"/>
    <w:rsid w:val="00B64C3D"/>
    <w:rsid w:val="00B8721B"/>
    <w:rsid w:val="00BB08CD"/>
    <w:rsid w:val="00BB2283"/>
    <w:rsid w:val="00BC0E8F"/>
    <w:rsid w:val="00BC32EA"/>
    <w:rsid w:val="00BC54EE"/>
    <w:rsid w:val="00BD665B"/>
    <w:rsid w:val="00BE022E"/>
    <w:rsid w:val="00BE0889"/>
    <w:rsid w:val="00BE17F0"/>
    <w:rsid w:val="00BE2329"/>
    <w:rsid w:val="00BF6533"/>
    <w:rsid w:val="00C0706A"/>
    <w:rsid w:val="00C115D7"/>
    <w:rsid w:val="00C3081C"/>
    <w:rsid w:val="00C32FEE"/>
    <w:rsid w:val="00C44EC2"/>
    <w:rsid w:val="00C52547"/>
    <w:rsid w:val="00C72E2B"/>
    <w:rsid w:val="00C747D5"/>
    <w:rsid w:val="00C77D2A"/>
    <w:rsid w:val="00C83857"/>
    <w:rsid w:val="00C9148C"/>
    <w:rsid w:val="00C92BA7"/>
    <w:rsid w:val="00C93B3F"/>
    <w:rsid w:val="00C94792"/>
    <w:rsid w:val="00CA1478"/>
    <w:rsid w:val="00CA19DD"/>
    <w:rsid w:val="00CA714E"/>
    <w:rsid w:val="00CB1597"/>
    <w:rsid w:val="00CB7872"/>
    <w:rsid w:val="00CC4E54"/>
    <w:rsid w:val="00CD016D"/>
    <w:rsid w:val="00CD1893"/>
    <w:rsid w:val="00CD663A"/>
    <w:rsid w:val="00CE2520"/>
    <w:rsid w:val="00D00FA7"/>
    <w:rsid w:val="00D0431E"/>
    <w:rsid w:val="00D1620F"/>
    <w:rsid w:val="00D227B0"/>
    <w:rsid w:val="00D25384"/>
    <w:rsid w:val="00D32FBE"/>
    <w:rsid w:val="00D37C44"/>
    <w:rsid w:val="00D43F6D"/>
    <w:rsid w:val="00D71A9A"/>
    <w:rsid w:val="00D814BD"/>
    <w:rsid w:val="00D81DC1"/>
    <w:rsid w:val="00D93E24"/>
    <w:rsid w:val="00D963D2"/>
    <w:rsid w:val="00DA09E7"/>
    <w:rsid w:val="00DA1AAC"/>
    <w:rsid w:val="00DB5018"/>
    <w:rsid w:val="00DE7F17"/>
    <w:rsid w:val="00DF2417"/>
    <w:rsid w:val="00E00418"/>
    <w:rsid w:val="00E02931"/>
    <w:rsid w:val="00E06265"/>
    <w:rsid w:val="00E249C5"/>
    <w:rsid w:val="00E34E70"/>
    <w:rsid w:val="00E44AC8"/>
    <w:rsid w:val="00E6086E"/>
    <w:rsid w:val="00E6248F"/>
    <w:rsid w:val="00E81C14"/>
    <w:rsid w:val="00EA2B06"/>
    <w:rsid w:val="00EB5A0B"/>
    <w:rsid w:val="00EE7C05"/>
    <w:rsid w:val="00EF2617"/>
    <w:rsid w:val="00F23A65"/>
    <w:rsid w:val="00F25D12"/>
    <w:rsid w:val="00F2740D"/>
    <w:rsid w:val="00F36730"/>
    <w:rsid w:val="00F41C0F"/>
    <w:rsid w:val="00F44E55"/>
    <w:rsid w:val="00F551A4"/>
    <w:rsid w:val="00F56048"/>
    <w:rsid w:val="00F57250"/>
    <w:rsid w:val="00F630F1"/>
    <w:rsid w:val="00F67EE8"/>
    <w:rsid w:val="00F72550"/>
    <w:rsid w:val="00F750AD"/>
    <w:rsid w:val="00F766FE"/>
    <w:rsid w:val="00F8260F"/>
    <w:rsid w:val="00F97A2E"/>
    <w:rsid w:val="00FA4196"/>
    <w:rsid w:val="00FB68C0"/>
    <w:rsid w:val="00FB761B"/>
    <w:rsid w:val="00FF77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D0"/>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404D0"/>
    <w:pPr>
      <w:tabs>
        <w:tab w:val="center" w:pos="4153"/>
        <w:tab w:val="right" w:pos="8306"/>
      </w:tabs>
    </w:pPr>
  </w:style>
  <w:style w:type="character" w:customStyle="1" w:styleId="HeaderChar">
    <w:name w:val="Header Char"/>
    <w:basedOn w:val="DefaultParagraphFont"/>
    <w:link w:val="Header"/>
    <w:uiPriority w:val="99"/>
    <w:semiHidden/>
    <w:locked/>
    <w:rsid w:val="00D1620F"/>
    <w:rPr>
      <w:sz w:val="24"/>
      <w:lang w:val="en-GB" w:eastAsia="en-US"/>
    </w:rPr>
  </w:style>
  <w:style w:type="paragraph" w:styleId="Footer">
    <w:name w:val="footer"/>
    <w:basedOn w:val="Normal"/>
    <w:link w:val="FooterChar"/>
    <w:uiPriority w:val="99"/>
    <w:rsid w:val="003404D0"/>
    <w:pPr>
      <w:tabs>
        <w:tab w:val="center" w:pos="4153"/>
        <w:tab w:val="right" w:pos="8306"/>
      </w:tabs>
    </w:pPr>
  </w:style>
  <w:style w:type="character" w:customStyle="1" w:styleId="FooterChar">
    <w:name w:val="Footer Char"/>
    <w:basedOn w:val="DefaultParagraphFont"/>
    <w:link w:val="Footer"/>
    <w:uiPriority w:val="99"/>
    <w:locked/>
    <w:rsid w:val="006F357D"/>
    <w:rPr>
      <w:rFonts w:cs="Times New Roman"/>
      <w:sz w:val="24"/>
      <w:szCs w:val="24"/>
      <w:lang w:val="en-GB" w:eastAsia="en-US"/>
    </w:rPr>
  </w:style>
  <w:style w:type="paragraph" w:styleId="BalloonText">
    <w:name w:val="Balloon Text"/>
    <w:basedOn w:val="Normal"/>
    <w:link w:val="BalloonTextChar"/>
    <w:uiPriority w:val="99"/>
    <w:semiHidden/>
    <w:rsid w:val="00CD66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3A"/>
    <w:rPr>
      <w:rFonts w:ascii="Tahoma" w:hAnsi="Tahoma" w:cs="Tahoma"/>
      <w:sz w:val="16"/>
      <w:szCs w:val="16"/>
      <w:lang w:val="en-GB" w:eastAsia="en-US"/>
    </w:rPr>
  </w:style>
  <w:style w:type="paragraph" w:styleId="ListParagraph">
    <w:name w:val="List Paragraph"/>
    <w:basedOn w:val="Normal"/>
    <w:uiPriority w:val="99"/>
    <w:qFormat/>
    <w:rsid w:val="007851F2"/>
    <w:pPr>
      <w:spacing w:after="200" w:line="276" w:lineRule="auto"/>
      <w:ind w:left="720"/>
      <w:contextualSpacing/>
    </w:pPr>
    <w:rPr>
      <w:rFonts w:ascii="Calibri" w:hAnsi="Calibri"/>
      <w:sz w:val="22"/>
      <w:szCs w:val="22"/>
      <w:lang w:val="fr-BE"/>
    </w:rPr>
  </w:style>
  <w:style w:type="paragraph" w:customStyle="1" w:styleId="Default">
    <w:name w:val="Default"/>
    <w:uiPriority w:val="99"/>
    <w:rsid w:val="007851F2"/>
    <w:pPr>
      <w:autoSpaceDE w:val="0"/>
      <w:autoSpaceDN w:val="0"/>
      <w:adjustRightInd w:val="0"/>
    </w:pPr>
    <w:rPr>
      <w:rFonts w:ascii="Arial" w:hAnsi="Arial" w:cs="Arial"/>
      <w:color w:val="000000"/>
      <w:sz w:val="24"/>
      <w:szCs w:val="24"/>
      <w:lang w:val="fr-BE" w:eastAsia="fr-BE"/>
    </w:rPr>
  </w:style>
  <w:style w:type="character" w:styleId="Hyperlink">
    <w:name w:val="Hyperlink"/>
    <w:basedOn w:val="DefaultParagraphFont"/>
    <w:uiPriority w:val="99"/>
    <w:rsid w:val="007851F2"/>
    <w:rPr>
      <w:rFonts w:cs="Times New Roman"/>
      <w:color w:val="0000FF"/>
      <w:u w:val="single"/>
    </w:rPr>
  </w:style>
  <w:style w:type="paragraph" w:styleId="FootnoteText">
    <w:name w:val="footnote text"/>
    <w:basedOn w:val="Normal"/>
    <w:link w:val="FootnoteTextChar"/>
    <w:uiPriority w:val="99"/>
    <w:rsid w:val="00994D48"/>
    <w:rPr>
      <w:rFonts w:ascii="Arial" w:hAnsi="Arial"/>
      <w:sz w:val="20"/>
      <w:szCs w:val="20"/>
    </w:rPr>
  </w:style>
  <w:style w:type="character" w:customStyle="1" w:styleId="FootnoteTextChar">
    <w:name w:val="Footnote Text Char"/>
    <w:basedOn w:val="DefaultParagraphFont"/>
    <w:link w:val="FootnoteText"/>
    <w:uiPriority w:val="99"/>
    <w:locked/>
    <w:rsid w:val="00994D48"/>
    <w:rPr>
      <w:rFonts w:ascii="Arial" w:hAnsi="Arial" w:cs="Times New Roman"/>
      <w:lang w:val="en-GB" w:eastAsia="en-US"/>
    </w:rPr>
  </w:style>
  <w:style w:type="character" w:styleId="FootnoteReference">
    <w:name w:val="footnote reference"/>
    <w:basedOn w:val="DefaultParagraphFont"/>
    <w:uiPriority w:val="99"/>
    <w:rsid w:val="00994D48"/>
    <w:rPr>
      <w:rFonts w:cs="Times New Roman"/>
      <w:vertAlign w:val="superscript"/>
    </w:rPr>
  </w:style>
  <w:style w:type="character" w:styleId="CommentReference">
    <w:name w:val="annotation reference"/>
    <w:basedOn w:val="DefaultParagraphFont"/>
    <w:uiPriority w:val="99"/>
    <w:semiHidden/>
    <w:rsid w:val="0030432C"/>
    <w:rPr>
      <w:rFonts w:cs="Times New Roman"/>
      <w:sz w:val="16"/>
      <w:szCs w:val="16"/>
    </w:rPr>
  </w:style>
  <w:style w:type="paragraph" w:styleId="CommentText">
    <w:name w:val="annotation text"/>
    <w:basedOn w:val="Normal"/>
    <w:link w:val="CommentTextChar"/>
    <w:uiPriority w:val="99"/>
    <w:semiHidden/>
    <w:rsid w:val="0030432C"/>
    <w:rPr>
      <w:sz w:val="20"/>
      <w:szCs w:val="20"/>
    </w:rPr>
  </w:style>
  <w:style w:type="character" w:customStyle="1" w:styleId="CommentTextChar">
    <w:name w:val="Comment Text Char"/>
    <w:basedOn w:val="DefaultParagraphFont"/>
    <w:link w:val="CommentText"/>
    <w:uiPriority w:val="99"/>
    <w:semiHidden/>
    <w:locked/>
    <w:rsid w:val="0030432C"/>
    <w:rPr>
      <w:rFonts w:cs="Times New Roman"/>
      <w:lang w:val="en-GB" w:eastAsia="en-US"/>
    </w:rPr>
  </w:style>
  <w:style w:type="paragraph" w:styleId="CommentSubject">
    <w:name w:val="annotation subject"/>
    <w:basedOn w:val="CommentText"/>
    <w:next w:val="CommentText"/>
    <w:link w:val="CommentSubjectChar"/>
    <w:uiPriority w:val="99"/>
    <w:semiHidden/>
    <w:rsid w:val="0030432C"/>
    <w:rPr>
      <w:b/>
      <w:bCs/>
    </w:rPr>
  </w:style>
  <w:style w:type="character" w:customStyle="1" w:styleId="CommentSubjectChar">
    <w:name w:val="Comment Subject Char"/>
    <w:basedOn w:val="CommentTextChar"/>
    <w:link w:val="CommentSubject"/>
    <w:uiPriority w:val="99"/>
    <w:semiHidden/>
    <w:locked/>
    <w:rsid w:val="0030432C"/>
    <w:rPr>
      <w:b/>
      <w:bCs/>
    </w:rPr>
  </w:style>
</w:styles>
</file>

<file path=word/webSettings.xml><?xml version="1.0" encoding="utf-8"?>
<w:webSettings xmlns:r="http://schemas.openxmlformats.org/officeDocument/2006/relationships" xmlns:w="http://schemas.openxmlformats.org/wordprocessingml/2006/main">
  <w:divs>
    <w:div w:id="467019508">
      <w:marLeft w:val="0"/>
      <w:marRight w:val="0"/>
      <w:marTop w:val="0"/>
      <w:marBottom w:val="0"/>
      <w:divBdr>
        <w:top w:val="none" w:sz="0" w:space="0" w:color="auto"/>
        <w:left w:val="none" w:sz="0" w:space="0" w:color="auto"/>
        <w:bottom w:val="none" w:sz="0" w:space="0" w:color="auto"/>
        <w:right w:val="none" w:sz="0" w:space="0" w:color="auto"/>
      </w:divBdr>
    </w:div>
    <w:div w:id="4670195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uaz@eaa.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ueurope.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lueurop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736</Words>
  <Characters>4266</Characters>
  <Application>Microsoft Office Outlook</Application>
  <DocSecurity>0</DocSecurity>
  <Lines>0</Lines>
  <Paragraphs>0</Paragraphs>
  <ScaleCrop>false</ScaleCrop>
  <Company>EAA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subject/>
  <dc:creator>David Van Heuverswyn</dc:creator>
  <cp:keywords/>
  <dc:description/>
  <cp:lastModifiedBy>Luminita</cp:lastModifiedBy>
  <cp:revision>2</cp:revision>
  <cp:lastPrinted>2013-11-05T11:23:00Z</cp:lastPrinted>
  <dcterms:created xsi:type="dcterms:W3CDTF">2013-11-11T19:19:00Z</dcterms:created>
  <dcterms:modified xsi:type="dcterms:W3CDTF">2013-11-11T19:19:00Z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